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keepNext/>
        <w:keepLines/>
        <w:spacing w:line="594" w:lineRule="exact"/>
        <w:jc w:val="center"/>
        <w:outlineLvl w:val="2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sz w:val="44"/>
          <w:szCs w:val="44"/>
        </w:rPr>
        <w:t>集中用餐单位食品安全问题</w:t>
      </w:r>
    </w:p>
    <w:p>
      <w:pPr>
        <w:keepNext/>
        <w:keepLines/>
        <w:spacing w:line="594" w:lineRule="exact"/>
        <w:jc w:val="center"/>
        <w:outlineLvl w:val="2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专项治理行动统计表</w:t>
      </w:r>
    </w:p>
    <w:p>
      <w:pPr>
        <w:pStyle w:val="2"/>
        <w:spacing w:line="600" w:lineRule="exact"/>
        <w:ind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填报单位：</w:t>
      </w:r>
      <w:r>
        <w:rPr>
          <w:rFonts w:hint="eastAsia" w:ascii="楷体_GB2312" w:hAnsi="楷体_GB2312" w:eastAsia="楷体_GB2312" w:cs="楷体_GB2312"/>
          <w:sz w:val="28"/>
          <w:szCs w:val="28"/>
        </w:rPr>
        <w:t>（</w:t>
      </w:r>
      <w:r>
        <w:rPr>
          <w:rFonts w:ascii="楷体_GB2312" w:hAnsi="楷体_GB2312" w:eastAsia="楷体_GB2312" w:cs="楷体_GB2312"/>
          <w:sz w:val="28"/>
          <w:szCs w:val="28"/>
        </w:rPr>
        <w:t>加盖公章</w:t>
      </w:r>
      <w:r>
        <w:rPr>
          <w:rFonts w:hint="eastAsia" w:ascii="楷体_GB2312" w:hAnsi="楷体_GB2312" w:eastAsia="楷体_GB2312" w:cs="楷体_GB2312"/>
          <w:sz w:val="28"/>
          <w:szCs w:val="28"/>
        </w:rPr>
        <w:t>）</w:t>
      </w:r>
      <w:r>
        <w:rPr>
          <w:rFonts w:ascii="Times New Roman" w:hAnsi="Times New Roman" w:eastAsia="黑体"/>
          <w:sz w:val="32"/>
          <w:szCs w:val="32"/>
        </w:rPr>
        <w:t xml:space="preserve">        填报时间：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41"/>
        <w:gridCol w:w="6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内容</w:t>
            </w:r>
          </w:p>
        </w:tc>
        <w:tc>
          <w:tcPr>
            <w:tcW w:w="6826" w:type="dxa"/>
            <w:gridSpan w:val="2"/>
          </w:tcPr>
          <w:p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具体项目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基础数据</w:t>
            </w:r>
          </w:p>
        </w:tc>
        <w:tc>
          <w:tcPr>
            <w:tcW w:w="6826" w:type="dxa"/>
            <w:gridSpan w:val="2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集中用餐单位食堂（）家，其中学校（含托幼机构）（）家、医院（）家、养老院（）家、机关（）家、其他（）家。</w:t>
            </w:r>
          </w:p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集中用餐单位食堂承包经营者（）家，其中学校（含托幼机构）（）家、医院（）家、养老院（）家、机关（）家、其他（）家。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落实企业（单位）主体责任</w:t>
            </w:r>
          </w:p>
        </w:tc>
        <w:tc>
          <w:tcPr>
            <w:tcW w:w="6826" w:type="dxa"/>
            <w:gridSpan w:val="2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督促集中用餐单位及其食堂承包经营者开展自查自纠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家，其中学校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含托幼机构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家、医院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家、养老院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家、机关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562"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6" w:type="dxa"/>
            <w:gridSpan w:val="2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督促集中用餐单位及其食堂承包经营者建立食品安全管理制度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562"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6" w:type="dxa"/>
            <w:gridSpan w:val="2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配备食品安全总监和食品安全员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家，设置率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562"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6" w:type="dxa"/>
            <w:gridSpan w:val="2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严格执行食品安全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日管控、周排查、月调度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”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制度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家，执行率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562"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6" w:type="dxa"/>
            <w:gridSpan w:val="2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相关从业人员开展食品安全培训考核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家，培训考核率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监督检查情况</w:t>
            </w:r>
          </w:p>
        </w:tc>
        <w:tc>
          <w:tcPr>
            <w:tcW w:w="6826" w:type="dxa"/>
            <w:gridSpan w:val="2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检查集中用餐单位及其食堂承包经营者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家，其中学校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含托幼机构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家、医院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家、养老院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家、机关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562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826" w:type="dxa"/>
            <w:gridSpan w:val="2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发现问题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家次，督促整改问题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562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826" w:type="dxa"/>
            <w:gridSpan w:val="2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退出或更换的承包经营企业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案件查处情况</w:t>
            </w:r>
          </w:p>
        </w:tc>
        <w:tc>
          <w:tcPr>
            <w:tcW w:w="6826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责令整改，予以警告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件，罚款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件，罚没金额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26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回头看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”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未整改到位被行政处罚的案件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26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公布典型案例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26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发布执法指引、指导案例等细化执法标准措施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gridSpan w:val="2"/>
          </w:tcPr>
          <w:p>
            <w:pPr>
              <w:pStyle w:val="2"/>
              <w:spacing w:line="600" w:lineRule="exact"/>
              <w:ind w:firstLine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黑体"/>
                <w:sz w:val="32"/>
                <w:szCs w:val="32"/>
              </w:rPr>
              <w:t>内容</w:t>
            </w:r>
          </w:p>
        </w:tc>
        <w:tc>
          <w:tcPr>
            <w:tcW w:w="6185" w:type="dxa"/>
          </w:tcPr>
          <w:p>
            <w:pPr>
              <w:pStyle w:val="2"/>
              <w:spacing w:line="600" w:lineRule="exact"/>
              <w:ind w:firstLine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具体项目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加强行业管理</w:t>
            </w:r>
          </w:p>
        </w:tc>
        <w:tc>
          <w:tcPr>
            <w:tcW w:w="6185" w:type="dxa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行业主管部门检查集中用餐单位日常管理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家，其中学校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含托幼机构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家、医院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家、养老院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家、机关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185" w:type="dxa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行业主管部门检查集中用餐单位招投标管理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家，其中学校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含托幼机构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家、医院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家、养老院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家、机关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185" w:type="dxa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推行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明厨亮灶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家、覆盖率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（）%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。其中，学校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含托幼机构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家、覆盖率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（）%；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医院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家、覆盖率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（）%；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养老院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家、覆盖率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（）%；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机关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家、覆盖率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（）%；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家、覆盖率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185" w:type="dxa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推行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互联网+明厨亮灶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家、覆盖率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（）%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。其中，学校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含托幼机构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家、覆盖率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（）%；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医院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家、覆盖率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（）%；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养老院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家、覆盖率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（）%；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机关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家、覆盖率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（）%；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家、覆盖率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包保督导情况</w:t>
            </w:r>
          </w:p>
        </w:tc>
        <w:tc>
          <w:tcPr>
            <w:tcW w:w="6185" w:type="dxa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对集中用餐单位包保覆盖率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（）%；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督导完成率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（）%；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问题整改率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建立健全长效机制情况</w:t>
            </w:r>
          </w:p>
        </w:tc>
        <w:tc>
          <w:tcPr>
            <w:tcW w:w="6185" w:type="dxa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专项治理行动工作方案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185" w:type="dxa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建立规范集中用餐单位食品安全法规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个、标准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个、制度机制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185" w:type="dxa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省级相关部门督查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次、督促整改问题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185" w:type="dxa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推进集中用餐单位食堂参保食品安全责任保险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家，其中学校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含托幼机构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家、医院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家、养老院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家、机关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家、其他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宣传引导情况</w:t>
            </w:r>
          </w:p>
        </w:tc>
        <w:tc>
          <w:tcPr>
            <w:tcW w:w="6185" w:type="dxa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各类报纸版面、广播电视、新媒体平台进行宣传报道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篇次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gridSpan w:val="2"/>
            <w:vMerge w:val="continue"/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185" w:type="dxa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开展重点宣传活动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项，制作海报、图解、视频等各类宣传产品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gridSpan w:val="2"/>
            <w:vMerge w:val="continue"/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185" w:type="dxa"/>
          </w:tcPr>
          <w:p>
            <w:pPr>
              <w:pStyle w:val="2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宣传覆盖人群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人次，宣传报道及产品浏览量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</w:tbl>
    <w:p>
      <w:pPr>
        <w:pStyle w:val="2"/>
        <w:spacing w:line="400" w:lineRule="exact"/>
        <w:ind w:firstLine="0" w:firstLineChars="0"/>
        <w:rPr>
          <w:rFonts w:ascii="楷体" w:hAnsi="楷体" w:eastAsia="楷体" w:cs="楷体"/>
          <w:color w:val="000000"/>
          <w:kern w:val="0"/>
          <w:sz w:val="28"/>
          <w:szCs w:val="28"/>
        </w:rPr>
      </w:pPr>
      <w:r>
        <w:rPr>
          <w:rFonts w:ascii="楷体" w:hAnsi="楷体" w:eastAsia="楷体" w:cs="楷体"/>
          <w:color w:val="000000"/>
          <w:kern w:val="0"/>
          <w:sz w:val="28"/>
          <w:szCs w:val="28"/>
        </w:rPr>
        <w:t>注：每月25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日</w:t>
      </w:r>
      <w:r>
        <w:rPr>
          <w:rFonts w:ascii="楷体" w:hAnsi="楷体" w:eastAsia="楷体" w:cs="楷体"/>
          <w:color w:val="000000"/>
          <w:kern w:val="0"/>
          <w:sz w:val="28"/>
          <w:szCs w:val="28"/>
        </w:rPr>
        <w:t>前报送至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省市场监管局</w:t>
      </w:r>
      <w:r>
        <w:rPr>
          <w:rFonts w:ascii="楷体" w:hAnsi="楷体" w:eastAsia="楷体" w:cs="楷体"/>
          <w:color w:val="000000"/>
          <w:kern w:val="0"/>
          <w:sz w:val="28"/>
          <w:szCs w:val="28"/>
        </w:rPr>
        <w:t>，填报数为集中用餐单位食品安全问题专项治理行动开展以来累计数。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24"/>
      <w:jc w:val="right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MzMxNmQ3NjRjYTJlMzRmYTg5N2QwNDhmNjhlM2UifQ=="/>
  </w:docVars>
  <w:rsids>
    <w:rsidRoot w:val="237D17F6"/>
    <w:rsid w:val="237D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2023-09-06T01:43:00Z</dcterms:created>
  <dc:creator>哆啦</dc:creator>
  <cp:lastModifiedBy>哆啦</cp:lastModifiedBy>
  <dcterms:modified xsi:type="dcterms:W3CDTF">2023-09-06T01:44:42Z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7AF81E491E684DEEAAC5C3F5EAE15DD5_11</vt:lpwstr>
  </property>
</Properties>
</file>