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napToGrid w:val="0"/>
        <w:ind w:right="880"/>
        <w:jc w:val="center"/>
        <w:rPr>
          <w:rFonts w:ascii="方正小标宋_GBK" w:hAnsi="宋体" w:eastAsia="方正小标宋_GBK" w:cs="宋体"/>
          <w:color w:val="000000"/>
          <w:kern w:val="0"/>
          <w:sz w:val="44"/>
          <w:szCs w:val="44"/>
        </w:rPr>
      </w:pPr>
      <w:bookmarkStart w:id="0" w:name="_GoBack"/>
      <w:r>
        <w:rPr>
          <w:rFonts w:hint="eastAsia" w:ascii="方正小标宋_GBK" w:hAnsi="宋体" w:eastAsia="方正小标宋_GBK" w:cs="宋体"/>
          <w:color w:val="000000"/>
          <w:kern w:val="0"/>
          <w:sz w:val="44"/>
          <w:szCs w:val="44"/>
          <w:lang w:eastAsia="zh-CN"/>
        </w:rPr>
        <w:t>甘肃省</w:t>
      </w:r>
      <w:r>
        <w:rPr>
          <w:rFonts w:hint="eastAsia" w:ascii="方正小标宋_GBK" w:hAnsi="宋体" w:eastAsia="方正小标宋_GBK" w:cs="宋体"/>
          <w:color w:val="000000"/>
          <w:kern w:val="0"/>
          <w:sz w:val="44"/>
          <w:szCs w:val="44"/>
        </w:rPr>
        <w:t>养老服务领域政务公开标准目录</w:t>
      </w:r>
    </w:p>
    <w:bookmarkEnd w:id="0"/>
    <w:tbl>
      <w:tblPr>
        <w:tblStyle w:val="8"/>
        <w:tblW w:w="1344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
        <w:gridCol w:w="761"/>
        <w:gridCol w:w="790"/>
        <w:gridCol w:w="1331"/>
        <w:gridCol w:w="3130"/>
        <w:gridCol w:w="597"/>
        <w:gridCol w:w="820"/>
        <w:gridCol w:w="1613"/>
        <w:gridCol w:w="573"/>
        <w:gridCol w:w="535"/>
        <w:gridCol w:w="516"/>
        <w:gridCol w:w="597"/>
        <w:gridCol w:w="516"/>
        <w:gridCol w:w="581"/>
        <w:gridCol w:w="6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blHeader/>
          <w:jc w:val="center"/>
        </w:trPr>
        <w:tc>
          <w:tcPr>
            <w:tcW w:w="451" w:type="dxa"/>
            <w:vMerge w:val="restart"/>
            <w:shd w:val="clear" w:color="auto" w:fill="auto"/>
            <w:vAlign w:val="center"/>
          </w:tcPr>
          <w:p>
            <w:pPr>
              <w:overflowPunct w:val="0"/>
              <w:snapToGrid w:val="0"/>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序 号</w:t>
            </w:r>
          </w:p>
        </w:tc>
        <w:tc>
          <w:tcPr>
            <w:tcW w:w="1551" w:type="dxa"/>
            <w:gridSpan w:val="2"/>
            <w:shd w:val="clear" w:color="auto" w:fill="auto"/>
            <w:vAlign w:val="center"/>
          </w:tcPr>
          <w:p>
            <w:pPr>
              <w:overflowPunct w:val="0"/>
              <w:snapToGrid w:val="0"/>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公开事项</w:t>
            </w:r>
          </w:p>
        </w:tc>
        <w:tc>
          <w:tcPr>
            <w:tcW w:w="1331" w:type="dxa"/>
            <w:vMerge w:val="restart"/>
            <w:shd w:val="clear" w:color="auto" w:fill="auto"/>
            <w:vAlign w:val="center"/>
          </w:tcPr>
          <w:p>
            <w:pPr>
              <w:overflowPunct w:val="0"/>
              <w:snapToGrid w:val="0"/>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公开内容</w:t>
            </w:r>
            <w:r>
              <w:rPr>
                <w:rFonts w:hint="eastAsia" w:ascii="宋体" w:hAnsi="宋体" w:eastAsia="宋体" w:cs="宋体"/>
                <w:b/>
                <w:bCs/>
                <w:color w:val="000000"/>
                <w:kern w:val="0"/>
                <w:sz w:val="18"/>
                <w:szCs w:val="18"/>
              </w:rPr>
              <w:br w:type="textWrapping"/>
            </w:r>
            <w:r>
              <w:rPr>
                <w:rFonts w:hint="eastAsia" w:ascii="宋体" w:hAnsi="宋体" w:eastAsia="宋体" w:cs="宋体"/>
                <w:b/>
                <w:bCs/>
                <w:color w:val="000000"/>
                <w:kern w:val="0"/>
                <w:sz w:val="18"/>
                <w:szCs w:val="18"/>
              </w:rPr>
              <w:t xml:space="preserve">(要素)        </w:t>
            </w:r>
          </w:p>
        </w:tc>
        <w:tc>
          <w:tcPr>
            <w:tcW w:w="3130" w:type="dxa"/>
            <w:vMerge w:val="restart"/>
            <w:shd w:val="clear" w:color="auto" w:fill="auto"/>
            <w:vAlign w:val="center"/>
          </w:tcPr>
          <w:p>
            <w:pPr>
              <w:overflowPunct w:val="0"/>
              <w:snapToGrid w:val="0"/>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公开依据</w:t>
            </w:r>
          </w:p>
        </w:tc>
        <w:tc>
          <w:tcPr>
            <w:tcW w:w="597" w:type="dxa"/>
            <w:vMerge w:val="restart"/>
            <w:shd w:val="clear" w:color="auto" w:fill="auto"/>
            <w:vAlign w:val="center"/>
          </w:tcPr>
          <w:p>
            <w:pPr>
              <w:overflowPunct w:val="0"/>
              <w:snapToGrid w:val="0"/>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公开时限</w:t>
            </w:r>
          </w:p>
        </w:tc>
        <w:tc>
          <w:tcPr>
            <w:tcW w:w="820" w:type="dxa"/>
            <w:vMerge w:val="restart"/>
            <w:shd w:val="clear" w:color="auto" w:fill="auto"/>
            <w:vAlign w:val="center"/>
          </w:tcPr>
          <w:p>
            <w:pPr>
              <w:overflowPunct w:val="0"/>
              <w:snapToGrid w:val="0"/>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公开主体</w:t>
            </w:r>
          </w:p>
        </w:tc>
        <w:tc>
          <w:tcPr>
            <w:tcW w:w="1613" w:type="dxa"/>
            <w:vMerge w:val="restart"/>
            <w:shd w:val="clear" w:color="auto" w:fill="auto"/>
            <w:vAlign w:val="center"/>
          </w:tcPr>
          <w:p>
            <w:pPr>
              <w:overflowPunct w:val="0"/>
              <w:snapToGrid w:val="0"/>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公开渠道和载体</w:t>
            </w:r>
          </w:p>
        </w:tc>
        <w:tc>
          <w:tcPr>
            <w:tcW w:w="1108" w:type="dxa"/>
            <w:gridSpan w:val="2"/>
            <w:shd w:val="clear" w:color="auto" w:fill="auto"/>
            <w:vAlign w:val="center"/>
          </w:tcPr>
          <w:p>
            <w:pPr>
              <w:overflowPunct w:val="0"/>
              <w:snapToGrid w:val="0"/>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公开对象</w:t>
            </w:r>
          </w:p>
        </w:tc>
        <w:tc>
          <w:tcPr>
            <w:tcW w:w="1113" w:type="dxa"/>
            <w:gridSpan w:val="2"/>
            <w:shd w:val="clear" w:color="auto" w:fill="auto"/>
            <w:vAlign w:val="center"/>
          </w:tcPr>
          <w:p>
            <w:pPr>
              <w:overflowPunct w:val="0"/>
              <w:snapToGrid w:val="0"/>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公开方式</w:t>
            </w:r>
          </w:p>
        </w:tc>
        <w:tc>
          <w:tcPr>
            <w:tcW w:w="1729" w:type="dxa"/>
            <w:gridSpan w:val="3"/>
            <w:shd w:val="clear" w:color="auto" w:fill="auto"/>
            <w:vAlign w:val="center"/>
          </w:tcPr>
          <w:p>
            <w:pPr>
              <w:overflowPunct w:val="0"/>
              <w:snapToGrid w:val="0"/>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3" w:hRule="atLeast"/>
          <w:tblHeader/>
          <w:jc w:val="center"/>
        </w:trPr>
        <w:tc>
          <w:tcPr>
            <w:tcW w:w="451" w:type="dxa"/>
            <w:vMerge w:val="continue"/>
            <w:vAlign w:val="center"/>
          </w:tcPr>
          <w:p>
            <w:pPr>
              <w:overflowPunct w:val="0"/>
              <w:snapToGrid w:val="0"/>
              <w:jc w:val="left"/>
              <w:rPr>
                <w:rFonts w:ascii="宋体" w:hAnsi="宋体" w:eastAsia="宋体" w:cs="宋体"/>
                <w:b/>
                <w:bCs/>
                <w:color w:val="000000"/>
                <w:kern w:val="0"/>
                <w:sz w:val="18"/>
                <w:szCs w:val="18"/>
              </w:rPr>
            </w:pPr>
          </w:p>
        </w:tc>
        <w:tc>
          <w:tcPr>
            <w:tcW w:w="761" w:type="dxa"/>
            <w:shd w:val="clear" w:color="auto" w:fill="auto"/>
            <w:vAlign w:val="center"/>
          </w:tcPr>
          <w:p>
            <w:pPr>
              <w:overflowPunct w:val="0"/>
              <w:snapToGrid w:val="0"/>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一级   事项</w:t>
            </w:r>
          </w:p>
        </w:tc>
        <w:tc>
          <w:tcPr>
            <w:tcW w:w="790" w:type="dxa"/>
            <w:shd w:val="clear" w:color="auto" w:fill="auto"/>
            <w:vAlign w:val="center"/>
          </w:tcPr>
          <w:p>
            <w:pPr>
              <w:overflowPunct w:val="0"/>
              <w:snapToGrid w:val="0"/>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二级       事项</w:t>
            </w:r>
          </w:p>
        </w:tc>
        <w:tc>
          <w:tcPr>
            <w:tcW w:w="1331" w:type="dxa"/>
            <w:vMerge w:val="continue"/>
            <w:vAlign w:val="center"/>
          </w:tcPr>
          <w:p>
            <w:pPr>
              <w:overflowPunct w:val="0"/>
              <w:snapToGrid w:val="0"/>
              <w:jc w:val="left"/>
              <w:rPr>
                <w:rFonts w:ascii="宋体" w:hAnsi="宋体" w:eastAsia="宋体" w:cs="宋体"/>
                <w:b/>
                <w:bCs/>
                <w:color w:val="000000"/>
                <w:kern w:val="0"/>
                <w:sz w:val="18"/>
                <w:szCs w:val="18"/>
              </w:rPr>
            </w:pPr>
          </w:p>
        </w:tc>
        <w:tc>
          <w:tcPr>
            <w:tcW w:w="3130" w:type="dxa"/>
            <w:vMerge w:val="continue"/>
            <w:vAlign w:val="center"/>
          </w:tcPr>
          <w:p>
            <w:pPr>
              <w:overflowPunct w:val="0"/>
              <w:snapToGrid w:val="0"/>
              <w:jc w:val="left"/>
              <w:rPr>
                <w:rFonts w:ascii="宋体" w:hAnsi="宋体" w:eastAsia="宋体" w:cs="宋体"/>
                <w:b/>
                <w:bCs/>
                <w:color w:val="000000"/>
                <w:kern w:val="0"/>
                <w:sz w:val="18"/>
                <w:szCs w:val="18"/>
              </w:rPr>
            </w:pPr>
          </w:p>
        </w:tc>
        <w:tc>
          <w:tcPr>
            <w:tcW w:w="597" w:type="dxa"/>
            <w:vMerge w:val="continue"/>
            <w:vAlign w:val="center"/>
          </w:tcPr>
          <w:p>
            <w:pPr>
              <w:overflowPunct w:val="0"/>
              <w:snapToGrid w:val="0"/>
              <w:jc w:val="left"/>
              <w:rPr>
                <w:rFonts w:ascii="宋体" w:hAnsi="宋体" w:eastAsia="宋体" w:cs="宋体"/>
                <w:b/>
                <w:bCs/>
                <w:color w:val="000000"/>
                <w:kern w:val="0"/>
                <w:sz w:val="18"/>
                <w:szCs w:val="18"/>
              </w:rPr>
            </w:pPr>
          </w:p>
        </w:tc>
        <w:tc>
          <w:tcPr>
            <w:tcW w:w="820" w:type="dxa"/>
            <w:vMerge w:val="continue"/>
            <w:vAlign w:val="center"/>
          </w:tcPr>
          <w:p>
            <w:pPr>
              <w:overflowPunct w:val="0"/>
              <w:snapToGrid w:val="0"/>
              <w:jc w:val="left"/>
              <w:rPr>
                <w:rFonts w:ascii="宋体" w:hAnsi="宋体" w:eastAsia="宋体" w:cs="宋体"/>
                <w:b/>
                <w:bCs/>
                <w:color w:val="000000"/>
                <w:kern w:val="0"/>
                <w:sz w:val="18"/>
                <w:szCs w:val="18"/>
              </w:rPr>
            </w:pPr>
          </w:p>
        </w:tc>
        <w:tc>
          <w:tcPr>
            <w:tcW w:w="1613" w:type="dxa"/>
            <w:vMerge w:val="continue"/>
            <w:vAlign w:val="center"/>
          </w:tcPr>
          <w:p>
            <w:pPr>
              <w:overflowPunct w:val="0"/>
              <w:snapToGrid w:val="0"/>
              <w:jc w:val="left"/>
              <w:rPr>
                <w:rFonts w:ascii="宋体" w:hAnsi="宋体" w:eastAsia="宋体" w:cs="宋体"/>
                <w:b/>
                <w:bCs/>
                <w:color w:val="000000"/>
                <w:kern w:val="0"/>
                <w:sz w:val="18"/>
                <w:szCs w:val="18"/>
              </w:rPr>
            </w:pPr>
          </w:p>
        </w:tc>
        <w:tc>
          <w:tcPr>
            <w:tcW w:w="573" w:type="dxa"/>
            <w:shd w:val="clear" w:color="auto" w:fill="auto"/>
            <w:vAlign w:val="center"/>
          </w:tcPr>
          <w:p>
            <w:pPr>
              <w:overflowPunct w:val="0"/>
              <w:snapToGrid w:val="0"/>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全</w:t>
            </w:r>
            <w:r>
              <w:rPr>
                <w:rFonts w:hint="eastAsia" w:ascii="宋体" w:hAnsi="宋体" w:eastAsia="宋体" w:cs="宋体"/>
                <w:b/>
                <w:bCs/>
                <w:color w:val="000000"/>
                <w:kern w:val="0"/>
                <w:sz w:val="18"/>
                <w:szCs w:val="18"/>
              </w:rPr>
              <w:br w:type="textWrapping"/>
            </w:r>
            <w:r>
              <w:rPr>
                <w:rFonts w:hint="eastAsia" w:ascii="宋体" w:hAnsi="宋体" w:eastAsia="宋体" w:cs="宋体"/>
                <w:b/>
                <w:bCs/>
                <w:color w:val="000000"/>
                <w:kern w:val="0"/>
                <w:sz w:val="18"/>
                <w:szCs w:val="18"/>
              </w:rPr>
              <w:t>社会</w:t>
            </w:r>
          </w:p>
        </w:tc>
        <w:tc>
          <w:tcPr>
            <w:tcW w:w="535" w:type="dxa"/>
            <w:shd w:val="clear" w:color="auto" w:fill="auto"/>
            <w:vAlign w:val="center"/>
          </w:tcPr>
          <w:p>
            <w:pPr>
              <w:overflowPunct w:val="0"/>
              <w:snapToGrid w:val="0"/>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特定群体</w:t>
            </w:r>
          </w:p>
        </w:tc>
        <w:tc>
          <w:tcPr>
            <w:tcW w:w="516" w:type="dxa"/>
            <w:shd w:val="clear" w:color="auto" w:fill="auto"/>
            <w:vAlign w:val="center"/>
          </w:tcPr>
          <w:p>
            <w:pPr>
              <w:overflowPunct w:val="0"/>
              <w:snapToGrid w:val="0"/>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主动</w:t>
            </w:r>
          </w:p>
        </w:tc>
        <w:tc>
          <w:tcPr>
            <w:tcW w:w="597" w:type="dxa"/>
            <w:shd w:val="clear" w:color="auto" w:fill="auto"/>
            <w:vAlign w:val="center"/>
          </w:tcPr>
          <w:p>
            <w:pPr>
              <w:overflowPunct w:val="0"/>
              <w:snapToGrid w:val="0"/>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依</w:t>
            </w:r>
            <w:r>
              <w:rPr>
                <w:rFonts w:hint="eastAsia" w:ascii="宋体" w:hAnsi="宋体" w:eastAsia="宋体" w:cs="宋体"/>
                <w:b/>
                <w:bCs/>
                <w:color w:val="000000"/>
                <w:kern w:val="0"/>
                <w:sz w:val="18"/>
                <w:szCs w:val="18"/>
              </w:rPr>
              <w:br w:type="textWrapping"/>
            </w:r>
            <w:r>
              <w:rPr>
                <w:rFonts w:hint="eastAsia" w:ascii="宋体" w:hAnsi="宋体" w:eastAsia="宋体" w:cs="宋体"/>
                <w:b/>
                <w:bCs/>
                <w:color w:val="000000"/>
                <w:kern w:val="0"/>
                <w:sz w:val="18"/>
                <w:szCs w:val="18"/>
              </w:rPr>
              <w:t>申请</w:t>
            </w:r>
          </w:p>
        </w:tc>
        <w:tc>
          <w:tcPr>
            <w:tcW w:w="516" w:type="dxa"/>
            <w:shd w:val="clear" w:color="auto" w:fill="auto"/>
            <w:vAlign w:val="center"/>
          </w:tcPr>
          <w:p>
            <w:pPr>
              <w:overflowPunct w:val="0"/>
              <w:snapToGrid w:val="0"/>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市</w:t>
            </w:r>
            <w:r>
              <w:rPr>
                <w:rFonts w:hint="eastAsia" w:ascii="宋体" w:hAnsi="宋体" w:eastAsia="宋体" w:cs="宋体"/>
                <w:b/>
                <w:bCs/>
                <w:color w:val="000000"/>
                <w:kern w:val="0"/>
                <w:sz w:val="18"/>
                <w:szCs w:val="18"/>
                <w:lang w:eastAsia="zh-CN"/>
              </w:rPr>
              <w:t>（州）</w:t>
            </w:r>
            <w:r>
              <w:rPr>
                <w:rFonts w:hint="eastAsia" w:ascii="宋体" w:hAnsi="宋体" w:eastAsia="宋体" w:cs="宋体"/>
                <w:b/>
                <w:bCs/>
                <w:color w:val="000000"/>
                <w:kern w:val="0"/>
                <w:sz w:val="18"/>
                <w:szCs w:val="18"/>
              </w:rPr>
              <w:t>级</w:t>
            </w:r>
          </w:p>
        </w:tc>
        <w:tc>
          <w:tcPr>
            <w:tcW w:w="581" w:type="dxa"/>
            <w:shd w:val="clear" w:color="auto" w:fill="auto"/>
            <w:vAlign w:val="center"/>
          </w:tcPr>
          <w:p>
            <w:pPr>
              <w:overflowPunct w:val="0"/>
              <w:snapToGrid w:val="0"/>
              <w:jc w:val="center"/>
              <w:rPr>
                <w:rFonts w:hint="eastAsia" w:ascii="宋体" w:hAnsi="宋体" w:eastAsia="宋体" w:cs="宋体"/>
                <w:b/>
                <w:bCs/>
                <w:color w:val="000000"/>
                <w:kern w:val="0"/>
                <w:sz w:val="18"/>
                <w:szCs w:val="18"/>
                <w:lang w:eastAsia="zh-CN"/>
              </w:rPr>
            </w:pPr>
            <w:r>
              <w:rPr>
                <w:rFonts w:hint="eastAsia" w:ascii="宋体" w:hAnsi="宋体" w:eastAsia="宋体" w:cs="宋体"/>
                <w:b/>
                <w:bCs/>
                <w:color w:val="000000"/>
                <w:kern w:val="0"/>
                <w:sz w:val="18"/>
                <w:szCs w:val="18"/>
                <w:lang w:eastAsia="zh-CN"/>
              </w:rPr>
              <w:t>县（市、区）</w:t>
            </w:r>
          </w:p>
        </w:tc>
        <w:tc>
          <w:tcPr>
            <w:tcW w:w="632" w:type="dxa"/>
            <w:shd w:val="clear" w:color="auto" w:fill="auto"/>
            <w:vAlign w:val="center"/>
          </w:tcPr>
          <w:p>
            <w:pPr>
              <w:overflowPunct w:val="0"/>
              <w:snapToGrid w:val="0"/>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乡镇级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2" w:hRule="atLeast"/>
          <w:jc w:val="center"/>
        </w:trPr>
        <w:tc>
          <w:tcPr>
            <w:tcW w:w="451"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761" w:type="dxa"/>
            <w:shd w:val="clear" w:color="auto" w:fill="auto"/>
            <w:vAlign w:val="center"/>
          </w:tcPr>
          <w:p>
            <w:pPr>
              <w:overflowPunct w:val="0"/>
              <w:snapToGrid w:val="0"/>
              <w:jc w:val="left"/>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eastAsia="zh-CN"/>
              </w:rPr>
              <w:t>养老服务通用政策</w:t>
            </w:r>
          </w:p>
        </w:tc>
        <w:tc>
          <w:tcPr>
            <w:tcW w:w="790" w:type="dxa"/>
            <w:shd w:val="clear" w:color="auto" w:fill="auto"/>
            <w:vAlign w:val="center"/>
          </w:tcPr>
          <w:p>
            <w:pPr>
              <w:overflowPunct w:val="0"/>
              <w:snapToGrid w:val="0"/>
              <w:jc w:val="left"/>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eastAsia="zh-CN"/>
              </w:rPr>
              <w:t>国家、省委、省政府和地方层面关于养老服务的</w:t>
            </w:r>
            <w:r>
              <w:rPr>
                <w:rFonts w:hint="eastAsia" w:ascii="宋体" w:hAnsi="宋体" w:eastAsia="宋体" w:cs="宋体"/>
                <w:color w:val="000000"/>
                <w:kern w:val="0"/>
                <w:sz w:val="18"/>
                <w:szCs w:val="18"/>
              </w:rPr>
              <w:t>法律法规</w:t>
            </w:r>
          </w:p>
        </w:tc>
        <w:tc>
          <w:tcPr>
            <w:tcW w:w="1331"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●文件名称</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●文号</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●发文部门</w:t>
            </w:r>
          </w:p>
        </w:tc>
        <w:tc>
          <w:tcPr>
            <w:tcW w:w="3130"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●《中华人民共和国老年人权益保障法》                             ●《养老机构管理办法》           ●《</w:t>
            </w:r>
            <w:r>
              <w:rPr>
                <w:rFonts w:hint="eastAsia" w:ascii="宋体" w:hAnsi="宋体" w:eastAsia="宋体" w:cs="宋体"/>
                <w:color w:val="000000"/>
                <w:kern w:val="0"/>
                <w:sz w:val="18"/>
                <w:szCs w:val="18"/>
                <w:lang w:eastAsia="zh-CN"/>
              </w:rPr>
              <w:t>甘肃省老年人权益保障条例</w:t>
            </w:r>
            <w:r>
              <w:rPr>
                <w:rFonts w:hint="eastAsia" w:ascii="宋体" w:hAnsi="宋体" w:eastAsia="宋体" w:cs="宋体"/>
                <w:color w:val="000000"/>
                <w:kern w:val="0"/>
                <w:sz w:val="18"/>
                <w:szCs w:val="18"/>
              </w:rPr>
              <w:t>》                        ●《</w:t>
            </w:r>
            <w:r>
              <w:rPr>
                <w:rFonts w:hint="eastAsia" w:ascii="宋体" w:hAnsi="宋体" w:eastAsia="宋体" w:cs="宋体"/>
                <w:color w:val="000000"/>
                <w:kern w:val="0"/>
                <w:sz w:val="18"/>
                <w:szCs w:val="18"/>
                <w:lang w:eastAsia="zh-CN"/>
              </w:rPr>
              <w:t>甘肃省养老服务条例</w:t>
            </w:r>
            <w:r>
              <w:rPr>
                <w:rFonts w:hint="eastAsia" w:ascii="宋体" w:hAnsi="宋体" w:eastAsia="宋体" w:cs="宋体"/>
                <w:color w:val="000000"/>
                <w:kern w:val="0"/>
                <w:sz w:val="18"/>
                <w:szCs w:val="18"/>
              </w:rPr>
              <w:t>》                ●信息公开规定</w:t>
            </w:r>
          </w:p>
        </w:tc>
        <w:tc>
          <w:tcPr>
            <w:tcW w:w="597"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制定或获取文件之日起10个工作日内</w:t>
            </w:r>
          </w:p>
        </w:tc>
        <w:tc>
          <w:tcPr>
            <w:tcW w:w="820"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市</w:t>
            </w:r>
            <w:r>
              <w:rPr>
                <w:rFonts w:hint="eastAsia" w:ascii="宋体" w:hAnsi="宋体" w:eastAsia="宋体" w:cs="宋体"/>
                <w:color w:val="000000"/>
                <w:kern w:val="0"/>
                <w:sz w:val="18"/>
                <w:szCs w:val="18"/>
                <w:lang w:eastAsia="zh-CN"/>
              </w:rPr>
              <w:t>（州）、县（市、区）</w:t>
            </w:r>
            <w:r>
              <w:rPr>
                <w:rFonts w:hint="eastAsia" w:ascii="宋体" w:hAnsi="宋体" w:eastAsia="宋体" w:cs="宋体"/>
                <w:color w:val="000000"/>
                <w:kern w:val="0"/>
                <w:sz w:val="18"/>
                <w:szCs w:val="18"/>
              </w:rPr>
              <w:t>人民政府民政部门</w:t>
            </w:r>
          </w:p>
        </w:tc>
        <w:tc>
          <w:tcPr>
            <w:tcW w:w="1613" w:type="dxa"/>
            <w:shd w:val="clear" w:color="auto" w:fill="auto"/>
            <w:vAlign w:val="center"/>
          </w:tcPr>
          <w:p>
            <w:pPr>
              <w:overflowPunct w:val="0"/>
              <w:snapToGrid w:val="0"/>
              <w:jc w:val="left"/>
              <w:rPr>
                <w:rFonts w:ascii="宋体" w:hAnsi="宋体" w:eastAsia="宋体" w:cs="宋体"/>
                <w:kern w:val="0"/>
                <w:sz w:val="18"/>
                <w:szCs w:val="18"/>
              </w:rPr>
            </w:pPr>
            <w:r>
              <w:rPr>
                <w:rFonts w:hint="eastAsia" w:ascii="宋体" w:hAnsi="宋体" w:eastAsia="宋体" w:cs="宋体"/>
                <w:kern w:val="0"/>
                <w:sz w:val="18"/>
                <w:szCs w:val="18"/>
              </w:rPr>
              <w:t>■</w:t>
            </w:r>
            <w:r>
              <w:rPr>
                <w:rFonts w:hint="eastAsia" w:ascii="宋体" w:hAnsi="宋体" w:eastAsia="宋体" w:cs="宋体"/>
                <w:color w:val="000000"/>
                <w:kern w:val="0"/>
                <w:sz w:val="18"/>
                <w:szCs w:val="18"/>
              </w:rPr>
              <w:t>政府网站    □政府公报                                                                                                                                                                                                                ■两微一端    □发布会/听证会                                                                                                                                                                                              □广播电视    □纸质媒体                                                                                                                                                                                                   □公开查阅点  ■政府服务中心                                                                                                                                                                                                    □便民服务站  □入户/现场                                                                                                                                                                                                   □社区/企事业单位/村公示栏</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（电子屏）                                                                                                                                                                                          □精准推送    □其他     </w:t>
            </w:r>
          </w:p>
        </w:tc>
        <w:tc>
          <w:tcPr>
            <w:tcW w:w="573"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535"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16"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597"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16"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581"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32"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73" w:hRule="atLeast"/>
          <w:jc w:val="center"/>
        </w:trPr>
        <w:tc>
          <w:tcPr>
            <w:tcW w:w="451"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w:t>
            </w:r>
          </w:p>
        </w:tc>
        <w:tc>
          <w:tcPr>
            <w:tcW w:w="761" w:type="dxa"/>
            <w:shd w:val="clear" w:color="auto" w:fill="auto"/>
            <w:vAlign w:val="center"/>
          </w:tcPr>
          <w:p>
            <w:pPr>
              <w:overflowPunct w:val="0"/>
              <w:snapToGrid w:val="0"/>
              <w:jc w:val="left"/>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eastAsia="zh-CN"/>
              </w:rPr>
              <w:t>养老服务通用政策</w:t>
            </w:r>
          </w:p>
        </w:tc>
        <w:tc>
          <w:tcPr>
            <w:tcW w:w="790"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lang w:eastAsia="zh-CN"/>
              </w:rPr>
              <w:t>国家及各地关于养老服务的</w:t>
            </w:r>
            <w:r>
              <w:rPr>
                <w:rFonts w:hint="eastAsia" w:ascii="宋体" w:hAnsi="宋体" w:eastAsia="宋体" w:cs="宋体"/>
                <w:color w:val="000000"/>
                <w:kern w:val="0"/>
                <w:sz w:val="18"/>
                <w:szCs w:val="18"/>
              </w:rPr>
              <w:t>政策文件</w:t>
            </w:r>
          </w:p>
        </w:tc>
        <w:tc>
          <w:tcPr>
            <w:tcW w:w="1331"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●文件名称</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●文号</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●发文部门</w:t>
            </w:r>
          </w:p>
        </w:tc>
        <w:tc>
          <w:tcPr>
            <w:tcW w:w="3130" w:type="dxa"/>
            <w:shd w:val="clear" w:color="auto" w:fill="auto"/>
            <w:vAlign w:val="center"/>
          </w:tcPr>
          <w:p>
            <w:pPr>
              <w:overflowPunct w:val="0"/>
              <w:snapToGrid w:val="0"/>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xml:space="preserve">●《国务院办公厅关于全面放开养老服务市场提升养老服务质量的若干意见》                           </w:t>
            </w:r>
          </w:p>
          <w:p>
            <w:pPr>
              <w:overflowPunct w:val="0"/>
              <w:snapToGrid w:val="0"/>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●《国务院办公厅关于推进养老服务发展的意见》                     ●《</w:t>
            </w:r>
            <w:r>
              <w:rPr>
                <w:rFonts w:hint="eastAsia" w:ascii="宋体" w:hAnsi="宋体" w:eastAsia="宋体" w:cs="宋体"/>
                <w:color w:val="000000"/>
                <w:kern w:val="0"/>
                <w:sz w:val="18"/>
                <w:szCs w:val="18"/>
                <w:lang w:eastAsia="zh-CN"/>
              </w:rPr>
              <w:t>甘肃省人民政府关于加快发展养老服务业的实施意见</w:t>
            </w:r>
            <w:r>
              <w:rPr>
                <w:rFonts w:hint="eastAsia" w:ascii="宋体" w:hAnsi="宋体" w:eastAsia="宋体" w:cs="宋体"/>
                <w:color w:val="000000"/>
                <w:kern w:val="0"/>
                <w:sz w:val="18"/>
                <w:szCs w:val="18"/>
              </w:rPr>
              <w:t xml:space="preserve">》              </w:t>
            </w:r>
          </w:p>
          <w:p>
            <w:pPr>
              <w:overflowPunct w:val="0"/>
              <w:snapToGrid w:val="0"/>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r>
              <w:rPr>
                <w:rFonts w:hint="eastAsia" w:ascii="宋体" w:hAnsi="宋体" w:eastAsia="宋体" w:cs="宋体"/>
                <w:color w:val="000000"/>
                <w:kern w:val="0"/>
                <w:sz w:val="18"/>
                <w:szCs w:val="18"/>
                <w:lang w:eastAsia="zh-CN"/>
              </w:rPr>
              <w:t>甘肃省人民政府</w:t>
            </w:r>
            <w:r>
              <w:rPr>
                <w:rFonts w:hint="eastAsia" w:ascii="宋体" w:hAnsi="宋体" w:eastAsia="宋体" w:cs="宋体"/>
                <w:color w:val="000000"/>
                <w:kern w:val="0"/>
                <w:sz w:val="18"/>
                <w:szCs w:val="18"/>
              </w:rPr>
              <w:t xml:space="preserve">办公厅关于全面放开养老服务市场提升养老服务质量的实施意见》                       ●《甘肃省人民政府办公厅关于制定和实施老年人照顾服务项目的实施意见》                          </w:t>
            </w:r>
          </w:p>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r>
              <w:rPr>
                <w:rFonts w:hint="eastAsia" w:ascii="宋体" w:hAnsi="宋体" w:eastAsia="宋体" w:cs="宋体"/>
                <w:color w:val="000000"/>
                <w:kern w:val="0"/>
                <w:sz w:val="18"/>
                <w:szCs w:val="18"/>
                <w:lang w:eastAsia="zh-CN"/>
              </w:rPr>
              <w:t>甘肃省民政厅</w:t>
            </w:r>
            <w:r>
              <w:rPr>
                <w:rFonts w:hint="eastAsia" w:ascii="宋体" w:hAnsi="宋体" w:eastAsia="宋体" w:cs="宋体"/>
                <w:color w:val="000000"/>
                <w:kern w:val="0"/>
                <w:sz w:val="18"/>
                <w:szCs w:val="18"/>
              </w:rPr>
              <w:t>关于贯彻落实新修改的〈中华人民共和国老年人权益保障法〉的通知》                           ●信息公开规定</w:t>
            </w:r>
          </w:p>
        </w:tc>
        <w:tc>
          <w:tcPr>
            <w:tcW w:w="597"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制定或获取文件之日起10个工作日内</w:t>
            </w:r>
          </w:p>
        </w:tc>
        <w:tc>
          <w:tcPr>
            <w:tcW w:w="820" w:type="dxa"/>
            <w:shd w:val="clear" w:color="auto" w:fill="auto"/>
            <w:vAlign w:val="center"/>
          </w:tcPr>
          <w:p>
            <w:pPr>
              <w:overflowPunct w:val="0"/>
              <w:snapToGrid w:val="0"/>
              <w:jc w:val="left"/>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eastAsia="zh-CN"/>
              </w:rPr>
              <w:t>市（州）、县（市、区）人民政府民政部门</w:t>
            </w:r>
          </w:p>
        </w:tc>
        <w:tc>
          <w:tcPr>
            <w:tcW w:w="1613" w:type="dxa"/>
            <w:shd w:val="clear" w:color="auto" w:fill="auto"/>
            <w:vAlign w:val="center"/>
          </w:tcPr>
          <w:p>
            <w:pPr>
              <w:overflowPunct w:val="0"/>
              <w:snapToGrid w:val="0"/>
              <w:jc w:val="left"/>
              <w:rPr>
                <w:rFonts w:ascii="宋体" w:hAnsi="宋体" w:eastAsia="宋体" w:cs="宋体"/>
                <w:kern w:val="0"/>
                <w:sz w:val="18"/>
                <w:szCs w:val="18"/>
              </w:rPr>
            </w:pPr>
            <w:r>
              <w:rPr>
                <w:rFonts w:hint="eastAsia" w:ascii="宋体" w:hAnsi="宋体" w:eastAsia="宋体" w:cs="宋体"/>
                <w:kern w:val="0"/>
                <w:sz w:val="18"/>
                <w:szCs w:val="18"/>
              </w:rPr>
              <w:t>■</w:t>
            </w:r>
            <w:r>
              <w:rPr>
                <w:rFonts w:hint="eastAsia" w:ascii="宋体" w:hAnsi="宋体" w:eastAsia="宋体" w:cs="宋体"/>
                <w:color w:val="000000"/>
                <w:kern w:val="0"/>
                <w:sz w:val="18"/>
                <w:szCs w:val="18"/>
              </w:rPr>
              <w:t>政府网站    □政府公报                                                                                                                                                                                                                ■两微一端    □发布会/听证会                                                                                                                                                                                              □广播电视    □纸质媒体                                                                                                                                                                                                   □公开查阅点  ■政府服务中心                                                                                                                                                                                                    □便民服务站  □入户/现场                                                                                                                                                                                                   □社区/企事业单位/村公示栏</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（电子屏）                                                                                                                                                                                          □精准推送    □其他     </w:t>
            </w:r>
          </w:p>
        </w:tc>
        <w:tc>
          <w:tcPr>
            <w:tcW w:w="573"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535"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16"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597"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16"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581"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32"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73" w:hRule="atLeast"/>
          <w:jc w:val="center"/>
        </w:trPr>
        <w:tc>
          <w:tcPr>
            <w:tcW w:w="451"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w:t>
            </w:r>
          </w:p>
        </w:tc>
        <w:tc>
          <w:tcPr>
            <w:tcW w:w="761"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lang w:eastAsia="zh-CN"/>
              </w:rPr>
              <w:t>养老服务通用</w:t>
            </w:r>
            <w:r>
              <w:rPr>
                <w:rFonts w:hint="eastAsia" w:ascii="宋体" w:hAnsi="宋体" w:eastAsia="宋体" w:cs="宋体"/>
                <w:color w:val="000000"/>
                <w:kern w:val="0"/>
                <w:sz w:val="18"/>
                <w:szCs w:val="18"/>
              </w:rPr>
              <w:t>政策</w:t>
            </w:r>
          </w:p>
        </w:tc>
        <w:tc>
          <w:tcPr>
            <w:tcW w:w="790"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lang w:eastAsia="zh-CN"/>
              </w:rPr>
              <w:t>养老服务</w:t>
            </w:r>
            <w:r>
              <w:rPr>
                <w:rFonts w:hint="eastAsia" w:ascii="宋体" w:hAnsi="宋体" w:eastAsia="宋体" w:cs="宋体"/>
                <w:color w:val="000000"/>
                <w:kern w:val="0"/>
                <w:sz w:val="18"/>
                <w:szCs w:val="18"/>
              </w:rPr>
              <w:t>扶持政策措施清单</w:t>
            </w:r>
          </w:p>
        </w:tc>
        <w:tc>
          <w:tcPr>
            <w:tcW w:w="1331"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●扶持政策措施名称</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●扶持对象</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●实施部门</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●扶持政策措施内容和标准</w:t>
            </w:r>
          </w:p>
        </w:tc>
        <w:tc>
          <w:tcPr>
            <w:tcW w:w="3130" w:type="dxa"/>
            <w:shd w:val="clear" w:color="auto" w:fill="auto"/>
            <w:vAlign w:val="center"/>
          </w:tcPr>
          <w:p>
            <w:pPr>
              <w:overflowPunct w:val="0"/>
              <w:snapToGrid w:val="0"/>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●《财政部 税务总局 发展改革委 民政部 卫生健康委关于养老、托育、家政等社区家庭服务业税费优惠政策的公告》</w:t>
            </w:r>
          </w:p>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r>
              <w:rPr>
                <w:rFonts w:hint="eastAsia" w:ascii="宋体" w:hAnsi="宋体" w:eastAsia="宋体" w:cs="宋体"/>
                <w:color w:val="000000"/>
                <w:kern w:val="0"/>
                <w:sz w:val="18"/>
                <w:szCs w:val="18"/>
                <w:lang w:eastAsia="zh-CN"/>
              </w:rPr>
              <w:t>《甘肃省养老服务条例》</w:t>
            </w:r>
            <w:r>
              <w:rPr>
                <w:rFonts w:hint="eastAsia" w:ascii="宋体" w:hAnsi="宋体" w:eastAsia="宋体" w:cs="宋体"/>
                <w:color w:val="000000"/>
                <w:kern w:val="0"/>
                <w:sz w:val="18"/>
                <w:szCs w:val="18"/>
              </w:rPr>
              <w:t xml:space="preserve">                                                                ●《</w:t>
            </w:r>
            <w:r>
              <w:rPr>
                <w:rFonts w:hint="eastAsia" w:ascii="宋体" w:hAnsi="宋体" w:eastAsia="宋体" w:cs="宋体"/>
                <w:color w:val="000000"/>
                <w:kern w:val="0"/>
                <w:sz w:val="18"/>
                <w:szCs w:val="18"/>
                <w:lang w:eastAsia="zh-CN"/>
              </w:rPr>
              <w:t>甘肃省</w:t>
            </w:r>
            <w:r>
              <w:rPr>
                <w:rFonts w:hint="eastAsia" w:ascii="宋体" w:hAnsi="宋体" w:eastAsia="宋体" w:cs="宋体"/>
                <w:color w:val="000000"/>
                <w:kern w:val="0"/>
                <w:sz w:val="18"/>
                <w:szCs w:val="18"/>
              </w:rPr>
              <w:t>人民政府关于加快推进养老服务业发展的</w:t>
            </w:r>
            <w:r>
              <w:rPr>
                <w:rFonts w:hint="eastAsia" w:ascii="宋体" w:hAnsi="宋体" w:eastAsia="宋体" w:cs="宋体"/>
                <w:color w:val="000000"/>
                <w:kern w:val="0"/>
                <w:sz w:val="18"/>
                <w:szCs w:val="18"/>
                <w:lang w:eastAsia="zh-CN"/>
              </w:rPr>
              <w:t>实施</w:t>
            </w:r>
            <w:r>
              <w:rPr>
                <w:rFonts w:hint="eastAsia" w:ascii="宋体" w:hAnsi="宋体" w:eastAsia="宋体" w:cs="宋体"/>
                <w:color w:val="000000"/>
                <w:kern w:val="0"/>
                <w:sz w:val="18"/>
                <w:szCs w:val="18"/>
              </w:rPr>
              <w:t>意见》                                                              ●《</w:t>
            </w:r>
            <w:r>
              <w:rPr>
                <w:rFonts w:hint="eastAsia" w:ascii="宋体" w:hAnsi="宋体" w:eastAsia="宋体" w:cs="宋体"/>
                <w:color w:val="000000"/>
                <w:kern w:val="0"/>
                <w:sz w:val="18"/>
                <w:szCs w:val="18"/>
                <w:lang w:eastAsia="zh-CN"/>
              </w:rPr>
              <w:t>甘肃省人民</w:t>
            </w:r>
            <w:r>
              <w:rPr>
                <w:rFonts w:hint="eastAsia" w:ascii="宋体" w:hAnsi="宋体" w:eastAsia="宋体" w:cs="宋体"/>
                <w:color w:val="000000"/>
                <w:kern w:val="0"/>
                <w:sz w:val="18"/>
                <w:szCs w:val="18"/>
              </w:rPr>
              <w:t>政府办公厅关于全面放开养老服务市场提升养老服务质量的实施意见》                                                                  ●《关于鼓励民间资本参与养老服务业发展的扶持政策》                                                          ●《关于加快推进全省居家养老服务网络平台建设的实施意见》                                                                                                                              ●《甘肃省社会办养老服务机构一次性建设补贴资金管理办法》                                                                                                                           ●信息公开规定</w:t>
            </w:r>
          </w:p>
        </w:tc>
        <w:tc>
          <w:tcPr>
            <w:tcW w:w="597"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制定或获取扶持政策措施之日起10个工作日内</w:t>
            </w:r>
          </w:p>
        </w:tc>
        <w:tc>
          <w:tcPr>
            <w:tcW w:w="820"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lang w:eastAsia="zh-CN"/>
              </w:rPr>
              <w:t>市（州）、县（市、区）人民政府民政部门</w:t>
            </w:r>
          </w:p>
        </w:tc>
        <w:tc>
          <w:tcPr>
            <w:tcW w:w="1613" w:type="dxa"/>
            <w:shd w:val="clear" w:color="auto" w:fill="auto"/>
            <w:vAlign w:val="center"/>
          </w:tcPr>
          <w:p>
            <w:pPr>
              <w:overflowPunct w:val="0"/>
              <w:snapToGrid w:val="0"/>
              <w:jc w:val="left"/>
              <w:rPr>
                <w:rFonts w:ascii="宋体" w:hAnsi="宋体" w:eastAsia="宋体" w:cs="宋体"/>
                <w:kern w:val="0"/>
                <w:sz w:val="18"/>
                <w:szCs w:val="18"/>
              </w:rPr>
            </w:pPr>
            <w:r>
              <w:rPr>
                <w:rFonts w:hint="eastAsia" w:ascii="宋体" w:hAnsi="宋体" w:eastAsia="宋体" w:cs="宋体"/>
                <w:kern w:val="0"/>
                <w:sz w:val="18"/>
                <w:szCs w:val="18"/>
              </w:rPr>
              <w:t>■</w:t>
            </w:r>
            <w:r>
              <w:rPr>
                <w:rFonts w:hint="eastAsia" w:ascii="宋体" w:hAnsi="宋体" w:eastAsia="宋体" w:cs="宋体"/>
                <w:color w:val="000000"/>
                <w:kern w:val="0"/>
                <w:sz w:val="18"/>
                <w:szCs w:val="18"/>
              </w:rPr>
              <w:t>政府网站    □政府公报                                                                                                                                                                                                                ■两微一端    □发布会/听证会                                                                                                                                                                                              □广播电视    □纸质媒体                                                                                                                                                                                                   □公开查阅点  ■政府服务中心                                                                                                                                                                                                    □便民服务站  □入户/现场                                                                                                                                                                                                   □社区/企事业单位/村公示栏</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（电子屏）                                                                                                                                                                                          □精准推送    □其他     </w:t>
            </w:r>
          </w:p>
        </w:tc>
        <w:tc>
          <w:tcPr>
            <w:tcW w:w="573"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535"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16"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597"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16"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581"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32"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71" w:hRule="atLeast"/>
          <w:jc w:val="center"/>
        </w:trPr>
        <w:tc>
          <w:tcPr>
            <w:tcW w:w="451"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w:t>
            </w:r>
          </w:p>
        </w:tc>
        <w:tc>
          <w:tcPr>
            <w:tcW w:w="761" w:type="dxa"/>
            <w:shd w:val="clear" w:color="auto" w:fill="auto"/>
            <w:vAlign w:val="center"/>
          </w:tcPr>
          <w:p>
            <w:pPr>
              <w:overflowPunct w:val="0"/>
              <w:snapToGrid w:val="0"/>
              <w:jc w:val="left"/>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eastAsia="zh-CN"/>
              </w:rPr>
              <w:t>养老服务通用政策</w:t>
            </w:r>
          </w:p>
        </w:tc>
        <w:tc>
          <w:tcPr>
            <w:tcW w:w="790"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lang w:eastAsia="zh-CN"/>
              </w:rPr>
              <w:t>养老机构</w:t>
            </w:r>
            <w:r>
              <w:rPr>
                <w:rFonts w:hint="eastAsia" w:ascii="宋体" w:hAnsi="宋体" w:eastAsia="宋体" w:cs="宋体"/>
                <w:color w:val="000000"/>
                <w:kern w:val="0"/>
                <w:sz w:val="18"/>
                <w:szCs w:val="18"/>
              </w:rPr>
              <w:t>投资指南</w:t>
            </w:r>
          </w:p>
        </w:tc>
        <w:tc>
          <w:tcPr>
            <w:tcW w:w="1331"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●本区域养老机构投资环境简介</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●养老机构投资审批条件及依据</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●养老机构投资审批流程</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●养老机构投资审批涉及部门和联系方式</w:t>
            </w:r>
          </w:p>
        </w:tc>
        <w:tc>
          <w:tcPr>
            <w:tcW w:w="3130"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●信息公开规定</w:t>
            </w:r>
          </w:p>
        </w:tc>
        <w:tc>
          <w:tcPr>
            <w:tcW w:w="597"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制定或获取指南之日起10个工作日内</w:t>
            </w:r>
          </w:p>
        </w:tc>
        <w:tc>
          <w:tcPr>
            <w:tcW w:w="820"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lang w:eastAsia="zh-CN"/>
              </w:rPr>
              <w:t>县（市、区）</w:t>
            </w:r>
            <w:r>
              <w:rPr>
                <w:rFonts w:hint="eastAsia" w:ascii="宋体" w:hAnsi="宋体" w:eastAsia="宋体" w:cs="宋体"/>
                <w:color w:val="000000"/>
                <w:kern w:val="0"/>
                <w:sz w:val="18"/>
                <w:szCs w:val="18"/>
              </w:rPr>
              <w:t>级人民政府民政部门</w:t>
            </w:r>
          </w:p>
        </w:tc>
        <w:tc>
          <w:tcPr>
            <w:tcW w:w="1613" w:type="dxa"/>
            <w:shd w:val="clear" w:color="auto" w:fill="auto"/>
            <w:vAlign w:val="center"/>
          </w:tcPr>
          <w:p>
            <w:pPr>
              <w:overflowPunct w:val="0"/>
              <w:snapToGrid w:val="0"/>
              <w:jc w:val="left"/>
              <w:rPr>
                <w:rFonts w:ascii="宋体" w:hAnsi="宋体" w:eastAsia="宋体" w:cs="宋体"/>
                <w:kern w:val="0"/>
                <w:sz w:val="18"/>
                <w:szCs w:val="18"/>
              </w:rPr>
            </w:pPr>
            <w:r>
              <w:rPr>
                <w:rFonts w:hint="eastAsia" w:ascii="宋体" w:hAnsi="宋体" w:eastAsia="宋体" w:cs="宋体"/>
                <w:kern w:val="0"/>
                <w:sz w:val="18"/>
                <w:szCs w:val="18"/>
              </w:rPr>
              <w:t>■</w:t>
            </w:r>
            <w:r>
              <w:rPr>
                <w:rFonts w:hint="eastAsia" w:ascii="宋体" w:hAnsi="宋体" w:eastAsia="宋体" w:cs="宋体"/>
                <w:color w:val="000000"/>
                <w:kern w:val="0"/>
                <w:sz w:val="18"/>
                <w:szCs w:val="18"/>
              </w:rPr>
              <w:t>政府网站    □政府公报                                                                                                                                                                                                                ■两微一端    □发布会/听证会                                                                                                                                                                                              □广播电视    □纸质媒体                                                                                                                                                                                                   □公开查阅点  ■政府服务中心                                                                                                                                                                                                    □便民服务站  □入户/现场                                                                                                                                                                                                   □社区/企事业单位/村公示栏</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（电子屏）                                                                                                                                                                                          □精准推送    □其他     </w:t>
            </w:r>
          </w:p>
        </w:tc>
        <w:tc>
          <w:tcPr>
            <w:tcW w:w="573"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535"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16"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597"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16"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81"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32"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451"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w:t>
            </w:r>
          </w:p>
        </w:tc>
        <w:tc>
          <w:tcPr>
            <w:tcW w:w="761"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lang w:eastAsia="zh-CN"/>
              </w:rPr>
              <w:t>养老服务</w:t>
            </w:r>
            <w:r>
              <w:rPr>
                <w:rFonts w:hint="eastAsia" w:ascii="宋体" w:hAnsi="宋体" w:eastAsia="宋体" w:cs="宋体"/>
                <w:color w:val="000000"/>
                <w:kern w:val="0"/>
                <w:sz w:val="18"/>
                <w:szCs w:val="18"/>
              </w:rPr>
              <w:t>业务办理</w:t>
            </w:r>
          </w:p>
        </w:tc>
        <w:tc>
          <w:tcPr>
            <w:tcW w:w="790"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lang w:eastAsia="zh-CN"/>
              </w:rPr>
              <w:t>养老机构</w:t>
            </w:r>
            <w:r>
              <w:rPr>
                <w:rFonts w:hint="eastAsia" w:ascii="宋体" w:hAnsi="宋体" w:eastAsia="宋体" w:cs="宋体"/>
                <w:color w:val="000000"/>
                <w:kern w:val="0"/>
                <w:sz w:val="18"/>
                <w:szCs w:val="18"/>
              </w:rPr>
              <w:t>备案</w:t>
            </w:r>
          </w:p>
        </w:tc>
        <w:tc>
          <w:tcPr>
            <w:tcW w:w="1331"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●备案申请材料清单及样式</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●备案流程</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●办理部门</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●办理时限</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●办理时间、地点</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●咨询电话</w:t>
            </w:r>
          </w:p>
        </w:tc>
        <w:tc>
          <w:tcPr>
            <w:tcW w:w="3130"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●《中华人民共和国老年人权益保障法》                                                                                                                                   ●《</w:t>
            </w:r>
            <w:r>
              <w:rPr>
                <w:rFonts w:hint="eastAsia" w:ascii="宋体" w:hAnsi="宋体" w:eastAsia="宋体" w:cs="宋体"/>
                <w:color w:val="000000"/>
                <w:kern w:val="0"/>
                <w:sz w:val="18"/>
                <w:szCs w:val="18"/>
                <w:lang w:eastAsia="zh-CN"/>
              </w:rPr>
              <w:t>甘肃省民政厅</w:t>
            </w:r>
            <w:r>
              <w:rPr>
                <w:rFonts w:hint="eastAsia" w:ascii="宋体" w:hAnsi="宋体" w:eastAsia="宋体" w:cs="宋体"/>
                <w:color w:val="000000"/>
                <w:kern w:val="0"/>
                <w:sz w:val="18"/>
                <w:szCs w:val="18"/>
              </w:rPr>
              <w:t>关于贯彻落实新修改的〈中华人民共和国老年人权益保障法〉的通知》                                                          ●信息公开规定</w:t>
            </w:r>
          </w:p>
        </w:tc>
        <w:tc>
          <w:tcPr>
            <w:tcW w:w="597"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制定或获取备案政策之日起10个工作日内</w:t>
            </w:r>
          </w:p>
        </w:tc>
        <w:tc>
          <w:tcPr>
            <w:tcW w:w="820"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lang w:eastAsia="zh-CN"/>
              </w:rPr>
              <w:t>县（市、区）</w:t>
            </w:r>
            <w:r>
              <w:rPr>
                <w:rFonts w:hint="eastAsia" w:ascii="宋体" w:hAnsi="宋体" w:eastAsia="宋体" w:cs="宋体"/>
                <w:color w:val="000000"/>
                <w:kern w:val="0"/>
                <w:sz w:val="18"/>
                <w:szCs w:val="18"/>
              </w:rPr>
              <w:t>级人民政府民政部门</w:t>
            </w:r>
          </w:p>
        </w:tc>
        <w:tc>
          <w:tcPr>
            <w:tcW w:w="1613" w:type="dxa"/>
            <w:shd w:val="clear" w:color="auto" w:fill="auto"/>
            <w:vAlign w:val="center"/>
          </w:tcPr>
          <w:p>
            <w:pPr>
              <w:overflowPunct w:val="0"/>
              <w:snapToGrid w:val="0"/>
              <w:jc w:val="left"/>
              <w:rPr>
                <w:rFonts w:ascii="宋体" w:hAnsi="宋体" w:eastAsia="宋体" w:cs="宋体"/>
                <w:kern w:val="0"/>
                <w:sz w:val="18"/>
                <w:szCs w:val="18"/>
              </w:rPr>
            </w:pPr>
            <w:r>
              <w:rPr>
                <w:rFonts w:hint="eastAsia" w:ascii="宋体" w:hAnsi="宋体" w:eastAsia="宋体" w:cs="宋体"/>
                <w:kern w:val="0"/>
                <w:sz w:val="18"/>
                <w:szCs w:val="18"/>
              </w:rPr>
              <w:t>■</w:t>
            </w:r>
            <w:r>
              <w:rPr>
                <w:rFonts w:hint="eastAsia" w:ascii="宋体" w:hAnsi="宋体" w:eastAsia="宋体" w:cs="宋体"/>
                <w:color w:val="000000"/>
                <w:kern w:val="0"/>
                <w:sz w:val="18"/>
                <w:szCs w:val="18"/>
              </w:rPr>
              <w:t>政府网站    □政府公报                                                                                                                                                                                                                ■两微一端    □发布会/听证会                                                                                                                                                                                              □广播电视    □纸质媒体                                                                                                                                                                                                   □公开查阅点  ■政府服务中心                                                                                                                                                                                                    □便民服务站  □入户/现场                                                                                                                                                                                                   □社区/企事业单位/村公示栏</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（电子屏）                                                                                                                                                                                          □精准推送    □其他     </w:t>
            </w:r>
          </w:p>
        </w:tc>
        <w:tc>
          <w:tcPr>
            <w:tcW w:w="573"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535"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16"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597"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16"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81"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32"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73" w:hRule="atLeast"/>
          <w:jc w:val="center"/>
        </w:trPr>
        <w:tc>
          <w:tcPr>
            <w:tcW w:w="451"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w:t>
            </w:r>
          </w:p>
        </w:tc>
        <w:tc>
          <w:tcPr>
            <w:tcW w:w="761"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lang w:eastAsia="zh-CN"/>
              </w:rPr>
              <w:t>养老服务</w:t>
            </w:r>
            <w:r>
              <w:rPr>
                <w:rFonts w:hint="eastAsia" w:ascii="宋体" w:hAnsi="宋体" w:eastAsia="宋体" w:cs="宋体"/>
                <w:color w:val="000000"/>
                <w:kern w:val="0"/>
                <w:sz w:val="18"/>
                <w:szCs w:val="18"/>
              </w:rPr>
              <w:t>业务办理</w:t>
            </w:r>
          </w:p>
        </w:tc>
        <w:tc>
          <w:tcPr>
            <w:tcW w:w="790"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lang w:eastAsia="zh-CN"/>
              </w:rPr>
              <w:t>养老服务</w:t>
            </w:r>
            <w:r>
              <w:rPr>
                <w:rFonts w:hint="eastAsia" w:ascii="宋体" w:hAnsi="宋体" w:eastAsia="宋体" w:cs="宋体"/>
                <w:color w:val="000000"/>
                <w:kern w:val="0"/>
                <w:sz w:val="18"/>
                <w:szCs w:val="18"/>
              </w:rPr>
              <w:t>扶持补贴</w:t>
            </w:r>
          </w:p>
        </w:tc>
        <w:tc>
          <w:tcPr>
            <w:tcW w:w="1331"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●养老服务扶持补贴名称（建设补贴、运营补贴等）</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●各项养老服务扶持补贴依据</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●各项养老服务扶持补贴对象</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●各项养老服务扶持补贴申请条件</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●各项养老服务扶持补贴内容和标准 </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●各项养老服务扶持补贴方式</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●补贴申请材料清单及样式</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●办理流程</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●办理部门</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●办理时限</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●办理时间、地点</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●咨询电话</w:t>
            </w:r>
          </w:p>
        </w:tc>
        <w:tc>
          <w:tcPr>
            <w:tcW w:w="3130" w:type="dxa"/>
            <w:shd w:val="clear" w:color="auto" w:fill="auto"/>
            <w:vAlign w:val="center"/>
          </w:tcPr>
          <w:p>
            <w:pPr>
              <w:overflowPunct w:val="0"/>
              <w:snapToGrid w:val="0"/>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xml:space="preserve">●《中华人民共和国老年人权益保障法》  </w:t>
            </w:r>
          </w:p>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w:t>
            </w:r>
            <w:r>
              <w:rPr>
                <w:rFonts w:hint="eastAsia" w:ascii="宋体" w:hAnsi="宋体" w:eastAsia="宋体" w:cs="宋体"/>
                <w:color w:val="000000"/>
                <w:kern w:val="0"/>
                <w:sz w:val="18"/>
                <w:szCs w:val="18"/>
                <w:lang w:eastAsia="zh-CN"/>
              </w:rPr>
              <w:t>《甘肃省养老服务条例》</w:t>
            </w:r>
            <w:r>
              <w:rPr>
                <w:rFonts w:hint="eastAsia" w:ascii="宋体" w:hAnsi="宋体" w:eastAsia="宋体" w:cs="宋体"/>
                <w:color w:val="000000"/>
                <w:kern w:val="0"/>
                <w:sz w:val="18"/>
                <w:szCs w:val="18"/>
              </w:rPr>
              <w:t xml:space="preserve">                                                                              ●《</w:t>
            </w:r>
            <w:r>
              <w:rPr>
                <w:rFonts w:hint="eastAsia" w:ascii="宋体" w:hAnsi="宋体" w:eastAsia="宋体" w:cs="宋体"/>
                <w:color w:val="000000"/>
                <w:kern w:val="0"/>
                <w:sz w:val="18"/>
                <w:szCs w:val="18"/>
                <w:lang w:eastAsia="zh-CN"/>
              </w:rPr>
              <w:t>甘肃省</w:t>
            </w:r>
            <w:r>
              <w:rPr>
                <w:rFonts w:hint="eastAsia" w:ascii="宋体" w:hAnsi="宋体" w:eastAsia="宋体" w:cs="宋体"/>
                <w:color w:val="000000"/>
                <w:kern w:val="0"/>
                <w:sz w:val="18"/>
                <w:szCs w:val="18"/>
              </w:rPr>
              <w:t>人民政府关于加快推进养老服务业发展的</w:t>
            </w:r>
            <w:r>
              <w:rPr>
                <w:rFonts w:hint="eastAsia" w:ascii="宋体" w:hAnsi="宋体" w:eastAsia="宋体" w:cs="宋体"/>
                <w:color w:val="000000"/>
                <w:kern w:val="0"/>
                <w:sz w:val="18"/>
                <w:szCs w:val="18"/>
                <w:lang w:eastAsia="zh-CN"/>
              </w:rPr>
              <w:t>实施</w:t>
            </w:r>
            <w:r>
              <w:rPr>
                <w:rFonts w:hint="eastAsia" w:ascii="宋体" w:hAnsi="宋体" w:eastAsia="宋体" w:cs="宋体"/>
                <w:color w:val="000000"/>
                <w:kern w:val="0"/>
                <w:sz w:val="18"/>
                <w:szCs w:val="18"/>
              </w:rPr>
              <w:t>意见》                                                              ●《</w:t>
            </w:r>
            <w:r>
              <w:rPr>
                <w:rFonts w:hint="eastAsia" w:ascii="宋体" w:hAnsi="宋体" w:eastAsia="宋体" w:cs="宋体"/>
                <w:color w:val="000000"/>
                <w:kern w:val="0"/>
                <w:sz w:val="18"/>
                <w:szCs w:val="18"/>
                <w:lang w:eastAsia="zh-CN"/>
              </w:rPr>
              <w:t>甘肃省人民</w:t>
            </w:r>
            <w:r>
              <w:rPr>
                <w:rFonts w:hint="eastAsia" w:ascii="宋体" w:hAnsi="宋体" w:eastAsia="宋体" w:cs="宋体"/>
                <w:color w:val="000000"/>
                <w:kern w:val="0"/>
                <w:sz w:val="18"/>
                <w:szCs w:val="18"/>
              </w:rPr>
              <w:t xml:space="preserve">政府办公厅关于全面放开养老服务市场提升养老服务质量的实施意见》                                                                  ●《关于鼓励民间资本 参与养老服务业发展的扶持政策》                                                          ●《关于加快推进全省居家养老服务网络平台建设的实施意见》                                                                                                                              ●《甘肃省社会办养老服务机构一次性建设补贴资金管理办法》                                                                                                                           ●信息公开规定 </w:t>
            </w:r>
          </w:p>
        </w:tc>
        <w:tc>
          <w:tcPr>
            <w:tcW w:w="597"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制定或获取扶持补贴政策之日起10个工作日内</w:t>
            </w:r>
          </w:p>
        </w:tc>
        <w:tc>
          <w:tcPr>
            <w:tcW w:w="820"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lang w:eastAsia="zh-CN"/>
              </w:rPr>
              <w:t>县（市、区）</w:t>
            </w:r>
            <w:r>
              <w:rPr>
                <w:rFonts w:hint="eastAsia" w:ascii="宋体" w:hAnsi="宋体" w:eastAsia="宋体" w:cs="宋体"/>
                <w:color w:val="000000"/>
                <w:kern w:val="0"/>
                <w:sz w:val="18"/>
                <w:szCs w:val="18"/>
              </w:rPr>
              <w:t>级人民政府民政部门</w:t>
            </w:r>
          </w:p>
        </w:tc>
        <w:tc>
          <w:tcPr>
            <w:tcW w:w="1613" w:type="dxa"/>
            <w:shd w:val="clear" w:color="auto" w:fill="auto"/>
            <w:vAlign w:val="center"/>
          </w:tcPr>
          <w:p>
            <w:pPr>
              <w:overflowPunct w:val="0"/>
              <w:snapToGrid w:val="0"/>
              <w:jc w:val="left"/>
              <w:rPr>
                <w:rFonts w:ascii="宋体" w:hAnsi="宋体" w:eastAsia="宋体" w:cs="宋体"/>
                <w:kern w:val="0"/>
                <w:sz w:val="18"/>
                <w:szCs w:val="18"/>
              </w:rPr>
            </w:pPr>
            <w:r>
              <w:rPr>
                <w:rFonts w:hint="eastAsia" w:ascii="宋体" w:hAnsi="宋体" w:eastAsia="宋体" w:cs="宋体"/>
                <w:kern w:val="0"/>
                <w:sz w:val="18"/>
                <w:szCs w:val="18"/>
              </w:rPr>
              <w:t>■</w:t>
            </w:r>
            <w:r>
              <w:rPr>
                <w:rFonts w:hint="eastAsia" w:ascii="宋体" w:hAnsi="宋体" w:eastAsia="宋体" w:cs="宋体"/>
                <w:color w:val="000000"/>
                <w:kern w:val="0"/>
                <w:sz w:val="18"/>
                <w:szCs w:val="18"/>
              </w:rPr>
              <w:t>政府网站    □政府公报                                                                                                                                                                                                                ■两微一端    □发布会/听证会                                                                                                                                                                                              □广播电视    □纸质媒体                                                                                                                                                                                                   □公开查阅点  ■政府服务中心                                                                                                                                                                                                    □便民服务站  □入户/现场                                                                                                                                                                                                   □社区/企事业单位/村公示栏</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（电子屏）                                                                                                                                                                                          □精准推送    □其他     </w:t>
            </w:r>
          </w:p>
        </w:tc>
        <w:tc>
          <w:tcPr>
            <w:tcW w:w="573"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535"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16"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597"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16"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81"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32"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15" w:hRule="atLeast"/>
          <w:jc w:val="center"/>
        </w:trPr>
        <w:tc>
          <w:tcPr>
            <w:tcW w:w="451"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7</w:t>
            </w:r>
          </w:p>
        </w:tc>
        <w:tc>
          <w:tcPr>
            <w:tcW w:w="761"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lang w:eastAsia="zh-CN"/>
              </w:rPr>
              <w:t>养老服务</w:t>
            </w:r>
            <w:r>
              <w:rPr>
                <w:rFonts w:hint="eastAsia" w:ascii="宋体" w:hAnsi="宋体" w:eastAsia="宋体" w:cs="宋体"/>
                <w:color w:val="000000"/>
                <w:kern w:val="0"/>
                <w:sz w:val="18"/>
                <w:szCs w:val="18"/>
              </w:rPr>
              <w:t>业务办理</w:t>
            </w:r>
          </w:p>
        </w:tc>
        <w:tc>
          <w:tcPr>
            <w:tcW w:w="790"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老年人补贴</w:t>
            </w:r>
          </w:p>
        </w:tc>
        <w:tc>
          <w:tcPr>
            <w:tcW w:w="1331"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●老年人补贴名称（高龄津贴、养老服务补贴、护理补贴等）</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●各项老年人补贴依据</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●各项老年人补贴对象</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●各项老年人补贴内容和标准</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●各项老年人补贴方式</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●补贴申请材料清单及格式</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●办理流程</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●办理部门</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●办理时限</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●办理时间、地点</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●咨询电话</w:t>
            </w:r>
          </w:p>
        </w:tc>
        <w:tc>
          <w:tcPr>
            <w:tcW w:w="3130" w:type="dxa"/>
            <w:shd w:val="clear" w:color="auto" w:fill="auto"/>
            <w:vAlign w:val="center"/>
          </w:tcPr>
          <w:p>
            <w:pPr>
              <w:overflowPunct w:val="0"/>
              <w:snapToGrid w:val="0"/>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●《中华人民共和国老年人权益保障法》                              ●《财政部 民政部 全国老龄办关于建立健全经济困难的高龄 失能等老年人补贴制度的通知》                                                                           ●《</w:t>
            </w:r>
            <w:r>
              <w:rPr>
                <w:rFonts w:hint="eastAsia" w:ascii="宋体" w:hAnsi="宋体" w:eastAsia="宋体" w:cs="宋体"/>
                <w:color w:val="000000"/>
                <w:kern w:val="0"/>
                <w:sz w:val="18"/>
                <w:szCs w:val="18"/>
                <w:lang w:eastAsia="zh-CN"/>
              </w:rPr>
              <w:t>甘肃省</w:t>
            </w:r>
            <w:r>
              <w:rPr>
                <w:rFonts w:hint="eastAsia" w:ascii="宋体" w:hAnsi="宋体" w:eastAsia="宋体" w:cs="宋体"/>
                <w:color w:val="000000"/>
                <w:kern w:val="0"/>
                <w:sz w:val="18"/>
                <w:szCs w:val="18"/>
              </w:rPr>
              <w:t>老年人权益保障条例》</w:t>
            </w:r>
          </w:p>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r>
              <w:rPr>
                <w:rFonts w:hint="eastAsia" w:ascii="宋体" w:hAnsi="宋体" w:eastAsia="宋体" w:cs="宋体"/>
                <w:color w:val="000000"/>
                <w:kern w:val="0"/>
                <w:sz w:val="18"/>
                <w:szCs w:val="18"/>
                <w:lang w:eastAsia="zh-CN"/>
              </w:rPr>
              <w:t>《甘肃省养老服务条例》</w:t>
            </w:r>
            <w:r>
              <w:rPr>
                <w:rFonts w:hint="eastAsia" w:ascii="宋体" w:hAnsi="宋体" w:eastAsia="宋体" w:cs="宋体"/>
                <w:color w:val="000000"/>
                <w:kern w:val="0"/>
                <w:sz w:val="18"/>
                <w:szCs w:val="18"/>
              </w:rPr>
              <w:t xml:space="preserve">                               ●《</w:t>
            </w:r>
            <w:r>
              <w:rPr>
                <w:rFonts w:hint="eastAsia" w:ascii="宋体" w:hAnsi="宋体" w:eastAsia="宋体" w:cs="宋体"/>
                <w:color w:val="000000"/>
                <w:kern w:val="0"/>
                <w:sz w:val="18"/>
                <w:szCs w:val="18"/>
                <w:lang w:eastAsia="zh-CN"/>
              </w:rPr>
              <w:t>甘肃省民政厅甘肃省财政厅甘肃省老龄办关于建立经济困难老年人补贴制度的</w:t>
            </w:r>
            <w:r>
              <w:rPr>
                <w:rFonts w:hint="eastAsia" w:ascii="宋体" w:hAnsi="宋体" w:eastAsia="宋体" w:cs="宋体"/>
                <w:color w:val="000000"/>
                <w:kern w:val="0"/>
                <w:sz w:val="18"/>
                <w:szCs w:val="18"/>
              </w:rPr>
              <w:t>通知》                                                                                                              ●信息公开规定</w:t>
            </w:r>
          </w:p>
        </w:tc>
        <w:tc>
          <w:tcPr>
            <w:tcW w:w="597"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制定或获取补贴政策之日起10个工作日内</w:t>
            </w:r>
          </w:p>
        </w:tc>
        <w:tc>
          <w:tcPr>
            <w:tcW w:w="820"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lang w:eastAsia="zh-CN"/>
              </w:rPr>
              <w:t>县（市、区）</w:t>
            </w:r>
            <w:r>
              <w:rPr>
                <w:rFonts w:hint="eastAsia" w:ascii="宋体" w:hAnsi="宋体" w:eastAsia="宋体" w:cs="宋体"/>
                <w:color w:val="000000"/>
                <w:kern w:val="0"/>
                <w:sz w:val="18"/>
                <w:szCs w:val="18"/>
              </w:rPr>
              <w:t>级人民政府民政部门、乡镇人民政府（街道办事处）</w:t>
            </w:r>
          </w:p>
        </w:tc>
        <w:tc>
          <w:tcPr>
            <w:tcW w:w="1613" w:type="dxa"/>
            <w:shd w:val="clear" w:color="auto" w:fill="auto"/>
            <w:vAlign w:val="center"/>
          </w:tcPr>
          <w:p>
            <w:pPr>
              <w:overflowPunct w:val="0"/>
              <w:snapToGrid w:val="0"/>
              <w:jc w:val="left"/>
              <w:rPr>
                <w:rFonts w:ascii="宋体" w:hAnsi="宋体" w:eastAsia="宋体" w:cs="宋体"/>
                <w:kern w:val="0"/>
                <w:sz w:val="18"/>
                <w:szCs w:val="18"/>
              </w:rPr>
            </w:pPr>
            <w:r>
              <w:rPr>
                <w:rFonts w:hint="eastAsia" w:ascii="宋体" w:hAnsi="宋体" w:eastAsia="宋体" w:cs="宋体"/>
                <w:kern w:val="0"/>
                <w:sz w:val="18"/>
                <w:szCs w:val="18"/>
              </w:rPr>
              <w:t>■</w:t>
            </w:r>
            <w:r>
              <w:rPr>
                <w:rFonts w:hint="eastAsia" w:ascii="宋体" w:hAnsi="宋体" w:eastAsia="宋体" w:cs="宋体"/>
                <w:color w:val="000000"/>
                <w:kern w:val="0"/>
                <w:sz w:val="18"/>
                <w:szCs w:val="18"/>
              </w:rPr>
              <w:t>政府网站    □政府公报                                                                                                                                                                                                                ■两微一端    □发布会/听证会                                                                                                                                                                                              □广播电视    □纸质媒体                                                                                                                                                                                                   □公开查阅点  ■政府服务中心                                                                                                                                                                                                    ■便民服务站  □入户/现场                                                                                                                                                                                                   ■社区/企事业单位/村公示栏</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（电子屏）                                                                                                                                                                                          □精准推送    □其他     </w:t>
            </w:r>
          </w:p>
        </w:tc>
        <w:tc>
          <w:tcPr>
            <w:tcW w:w="573"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535"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16"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597"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16"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81"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32"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73" w:hRule="atLeast"/>
          <w:jc w:val="center"/>
        </w:trPr>
        <w:tc>
          <w:tcPr>
            <w:tcW w:w="451"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8</w:t>
            </w:r>
          </w:p>
        </w:tc>
        <w:tc>
          <w:tcPr>
            <w:tcW w:w="761"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lang w:eastAsia="zh-CN"/>
              </w:rPr>
              <w:t>养老服务</w:t>
            </w:r>
            <w:r>
              <w:rPr>
                <w:rFonts w:hint="eastAsia" w:ascii="宋体" w:hAnsi="宋体" w:eastAsia="宋体" w:cs="宋体"/>
                <w:color w:val="000000"/>
                <w:kern w:val="0"/>
                <w:sz w:val="18"/>
                <w:szCs w:val="18"/>
              </w:rPr>
              <w:t>行业管理</w:t>
            </w:r>
          </w:p>
        </w:tc>
        <w:tc>
          <w:tcPr>
            <w:tcW w:w="790"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lang w:eastAsia="zh-CN"/>
              </w:rPr>
              <w:t>养老机构</w:t>
            </w:r>
            <w:r>
              <w:rPr>
                <w:rFonts w:hint="eastAsia" w:ascii="宋体" w:hAnsi="宋体" w:eastAsia="宋体" w:cs="宋体"/>
                <w:color w:val="000000"/>
                <w:kern w:val="0"/>
                <w:sz w:val="18"/>
                <w:szCs w:val="18"/>
              </w:rPr>
              <w:t>备案信息</w:t>
            </w:r>
          </w:p>
        </w:tc>
        <w:tc>
          <w:tcPr>
            <w:tcW w:w="1331"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●本行政区域已备案养老机构数量</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●本行政区域已备案养老机构名称、机构地址、床位数量等基本信息</w:t>
            </w:r>
          </w:p>
        </w:tc>
        <w:tc>
          <w:tcPr>
            <w:tcW w:w="3130"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●《中华人民共和国老年人权益保障法》                    </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●《养老机构管理办法》                                       </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●信息公开规定</w:t>
            </w:r>
          </w:p>
        </w:tc>
        <w:tc>
          <w:tcPr>
            <w:tcW w:w="597"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每20个工作日更新</w:t>
            </w:r>
          </w:p>
        </w:tc>
        <w:tc>
          <w:tcPr>
            <w:tcW w:w="820"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lang w:eastAsia="zh-CN"/>
              </w:rPr>
              <w:t>县（市、区）</w:t>
            </w:r>
            <w:r>
              <w:rPr>
                <w:rFonts w:hint="eastAsia" w:ascii="宋体" w:hAnsi="宋体" w:eastAsia="宋体" w:cs="宋体"/>
                <w:color w:val="000000"/>
                <w:kern w:val="0"/>
                <w:sz w:val="18"/>
                <w:szCs w:val="18"/>
              </w:rPr>
              <w:t>级人民政府民政部门</w:t>
            </w:r>
          </w:p>
        </w:tc>
        <w:tc>
          <w:tcPr>
            <w:tcW w:w="1613" w:type="dxa"/>
            <w:shd w:val="clear" w:color="auto" w:fill="auto"/>
            <w:vAlign w:val="center"/>
          </w:tcPr>
          <w:p>
            <w:pPr>
              <w:overflowPunct w:val="0"/>
              <w:snapToGrid w:val="0"/>
              <w:jc w:val="left"/>
              <w:rPr>
                <w:rFonts w:ascii="宋体" w:hAnsi="宋体" w:eastAsia="宋体" w:cs="宋体"/>
                <w:kern w:val="0"/>
                <w:sz w:val="18"/>
                <w:szCs w:val="18"/>
              </w:rPr>
            </w:pPr>
            <w:r>
              <w:rPr>
                <w:rFonts w:hint="eastAsia" w:ascii="宋体" w:hAnsi="宋体" w:eastAsia="宋体" w:cs="宋体"/>
                <w:kern w:val="0"/>
                <w:sz w:val="18"/>
                <w:szCs w:val="18"/>
              </w:rPr>
              <w:t>■</w:t>
            </w:r>
            <w:r>
              <w:rPr>
                <w:rFonts w:hint="eastAsia" w:ascii="宋体" w:hAnsi="宋体" w:eastAsia="宋体" w:cs="宋体"/>
                <w:color w:val="000000"/>
                <w:kern w:val="0"/>
                <w:sz w:val="18"/>
                <w:szCs w:val="18"/>
              </w:rPr>
              <w:t>政府网站    □政府公报                                                                                                                                                                                                                ■两微一端    □发布会/听证会                                                                                                                                                                                              □广播电视    □纸质媒体                                                                                                                                                                                                   □公开查阅点  ■政府服务中心                                                                                                                                                                                                    □便民服务站  □入户/现场                                                                                                                                                                                                   □社区/企事业单位/村公示栏</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（电子屏）                                                                                                                                                                                          □精准推送    □其他     </w:t>
            </w:r>
          </w:p>
        </w:tc>
        <w:tc>
          <w:tcPr>
            <w:tcW w:w="573"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535"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16"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597"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16"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81"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32"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15" w:hRule="atLeast"/>
          <w:jc w:val="center"/>
        </w:trPr>
        <w:tc>
          <w:tcPr>
            <w:tcW w:w="451"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9</w:t>
            </w:r>
          </w:p>
        </w:tc>
        <w:tc>
          <w:tcPr>
            <w:tcW w:w="761"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lang w:eastAsia="zh-CN"/>
              </w:rPr>
              <w:t>养老服务</w:t>
            </w:r>
            <w:r>
              <w:rPr>
                <w:rFonts w:hint="eastAsia" w:ascii="宋体" w:hAnsi="宋体" w:eastAsia="宋体" w:cs="宋体"/>
                <w:color w:val="000000"/>
                <w:kern w:val="0"/>
                <w:sz w:val="18"/>
                <w:szCs w:val="18"/>
              </w:rPr>
              <w:t>行业管理</w:t>
            </w:r>
          </w:p>
        </w:tc>
        <w:tc>
          <w:tcPr>
            <w:tcW w:w="790"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lang w:eastAsia="zh-CN"/>
              </w:rPr>
              <w:t>养老服务</w:t>
            </w:r>
            <w:r>
              <w:rPr>
                <w:rFonts w:hint="eastAsia" w:ascii="宋体" w:hAnsi="宋体" w:eastAsia="宋体" w:cs="宋体"/>
                <w:color w:val="000000"/>
                <w:kern w:val="0"/>
                <w:sz w:val="18"/>
                <w:szCs w:val="18"/>
              </w:rPr>
              <w:t>扶持补贴信息</w:t>
            </w:r>
          </w:p>
        </w:tc>
        <w:tc>
          <w:tcPr>
            <w:tcW w:w="1331"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●本行政区域各项养老服务扶持补贴申请数量</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●本行政区域各项养老服务扶持补贴申请审核通过数量</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●本行政区域各项养老服务扶持补贴申请审核通过名单及补贴金额</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●本行政区域各项养老服务扶持补贴发放总金额</w:t>
            </w:r>
          </w:p>
        </w:tc>
        <w:tc>
          <w:tcPr>
            <w:tcW w:w="3130" w:type="dxa"/>
            <w:shd w:val="clear" w:color="auto" w:fill="auto"/>
            <w:vAlign w:val="center"/>
          </w:tcPr>
          <w:p>
            <w:pPr>
              <w:overflowPunct w:val="0"/>
              <w:snapToGrid w:val="0"/>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xml:space="preserve">●《财政部 税务总局 发展改革委 民政部 卫生健康委关于养老、托育、家政等社区家庭服务业税费优惠政策的公告》                            ●《中华人民共和国老年人权益保障法》  </w:t>
            </w:r>
          </w:p>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w:t>
            </w:r>
            <w:r>
              <w:rPr>
                <w:rFonts w:hint="eastAsia" w:ascii="宋体" w:hAnsi="宋体" w:eastAsia="宋体" w:cs="宋体"/>
                <w:color w:val="000000"/>
                <w:kern w:val="0"/>
                <w:sz w:val="18"/>
                <w:szCs w:val="18"/>
                <w:lang w:eastAsia="zh-CN"/>
              </w:rPr>
              <w:t>《甘肃省养老服务条例》</w:t>
            </w:r>
            <w:r>
              <w:rPr>
                <w:rFonts w:hint="eastAsia" w:ascii="宋体" w:hAnsi="宋体" w:eastAsia="宋体" w:cs="宋体"/>
                <w:color w:val="000000"/>
                <w:kern w:val="0"/>
                <w:sz w:val="18"/>
                <w:szCs w:val="18"/>
              </w:rPr>
              <w:t xml:space="preserve">                                                                              ●《</w:t>
            </w:r>
            <w:r>
              <w:rPr>
                <w:rFonts w:hint="eastAsia" w:ascii="宋体" w:hAnsi="宋体" w:eastAsia="宋体" w:cs="宋体"/>
                <w:color w:val="000000"/>
                <w:kern w:val="0"/>
                <w:sz w:val="18"/>
                <w:szCs w:val="18"/>
                <w:lang w:eastAsia="zh-CN"/>
              </w:rPr>
              <w:t>甘肃省</w:t>
            </w:r>
            <w:r>
              <w:rPr>
                <w:rFonts w:hint="eastAsia" w:ascii="宋体" w:hAnsi="宋体" w:eastAsia="宋体" w:cs="宋体"/>
                <w:color w:val="000000"/>
                <w:kern w:val="0"/>
                <w:sz w:val="18"/>
                <w:szCs w:val="18"/>
              </w:rPr>
              <w:t>人民政府关于加快推进养老服务业发展的</w:t>
            </w:r>
            <w:r>
              <w:rPr>
                <w:rFonts w:hint="eastAsia" w:ascii="宋体" w:hAnsi="宋体" w:eastAsia="宋体" w:cs="宋体"/>
                <w:color w:val="000000"/>
                <w:kern w:val="0"/>
                <w:sz w:val="18"/>
                <w:szCs w:val="18"/>
                <w:lang w:eastAsia="zh-CN"/>
              </w:rPr>
              <w:t>实施</w:t>
            </w:r>
            <w:r>
              <w:rPr>
                <w:rFonts w:hint="eastAsia" w:ascii="宋体" w:hAnsi="宋体" w:eastAsia="宋体" w:cs="宋体"/>
                <w:color w:val="000000"/>
                <w:kern w:val="0"/>
                <w:sz w:val="18"/>
                <w:szCs w:val="18"/>
              </w:rPr>
              <w:t>意见》                                                              ●《</w:t>
            </w:r>
            <w:r>
              <w:rPr>
                <w:rFonts w:hint="eastAsia" w:ascii="宋体" w:hAnsi="宋体" w:eastAsia="宋体" w:cs="宋体"/>
                <w:color w:val="000000"/>
                <w:kern w:val="0"/>
                <w:sz w:val="18"/>
                <w:szCs w:val="18"/>
                <w:lang w:eastAsia="zh-CN"/>
              </w:rPr>
              <w:t>甘肃省人民</w:t>
            </w:r>
            <w:r>
              <w:rPr>
                <w:rFonts w:hint="eastAsia" w:ascii="宋体" w:hAnsi="宋体" w:eastAsia="宋体" w:cs="宋体"/>
                <w:color w:val="000000"/>
                <w:kern w:val="0"/>
                <w:sz w:val="18"/>
                <w:szCs w:val="18"/>
              </w:rPr>
              <w:t xml:space="preserve">政府办公厅关于全面放开养老服务市场提升养老服务质量的实施意见》                                                                  ●《关于鼓励民间资本参与养老服务业发展的扶持政策》                                                          ●《关于加快推进全省居家养老服务网络平台建设的实施意见》                                                                                                                              ●《甘肃省社会办养老服务机构一次性建设补贴资金管理办法》                                                                                                                           ●信息公开规定 </w:t>
            </w:r>
          </w:p>
        </w:tc>
        <w:tc>
          <w:tcPr>
            <w:tcW w:w="597"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每20个工作日更新</w:t>
            </w:r>
          </w:p>
        </w:tc>
        <w:tc>
          <w:tcPr>
            <w:tcW w:w="820"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lang w:eastAsia="zh-CN"/>
              </w:rPr>
              <w:t>县（市、区）</w:t>
            </w:r>
            <w:r>
              <w:rPr>
                <w:rFonts w:hint="eastAsia" w:ascii="宋体" w:hAnsi="宋体" w:eastAsia="宋体" w:cs="宋体"/>
                <w:color w:val="000000"/>
                <w:kern w:val="0"/>
                <w:sz w:val="18"/>
                <w:szCs w:val="18"/>
              </w:rPr>
              <w:t>级人民政府民政部门</w:t>
            </w:r>
          </w:p>
        </w:tc>
        <w:tc>
          <w:tcPr>
            <w:tcW w:w="1613"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■政府网站    □政府公报                                                                                                                                                                                                                ■两微一端    □发布会/听证会                                                                                                                                                                                              □广播电视    □纸质媒体                                                                                                                                                                                                   □公开查阅点  ■政府服务中心                                                                                                                                                                                                    □便民服务站  □入户/现场                                                                                                                                                                                                   □社区/企事业单位/村公示栏</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（电子屏）                                                                                                                                                                                          □精准推送    □其他     </w:t>
            </w:r>
          </w:p>
        </w:tc>
        <w:tc>
          <w:tcPr>
            <w:tcW w:w="573"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535"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16"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597"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16"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81"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32"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29" w:hRule="atLeast"/>
          <w:jc w:val="center"/>
        </w:trPr>
        <w:tc>
          <w:tcPr>
            <w:tcW w:w="451"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w:t>
            </w:r>
          </w:p>
        </w:tc>
        <w:tc>
          <w:tcPr>
            <w:tcW w:w="761"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lang w:eastAsia="zh-CN"/>
              </w:rPr>
              <w:t>养老服务</w:t>
            </w:r>
            <w:r>
              <w:rPr>
                <w:rFonts w:hint="eastAsia" w:ascii="宋体" w:hAnsi="宋体" w:eastAsia="宋体" w:cs="宋体"/>
                <w:color w:val="000000"/>
                <w:kern w:val="0"/>
                <w:sz w:val="18"/>
                <w:szCs w:val="18"/>
              </w:rPr>
              <w:t>行业管理</w:t>
            </w:r>
          </w:p>
        </w:tc>
        <w:tc>
          <w:tcPr>
            <w:tcW w:w="790"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老年人</w:t>
            </w:r>
            <w:r>
              <w:rPr>
                <w:rFonts w:hint="eastAsia" w:ascii="宋体" w:hAnsi="宋体" w:eastAsia="宋体" w:cs="宋体"/>
                <w:color w:val="000000"/>
                <w:kern w:val="0"/>
                <w:sz w:val="18"/>
                <w:szCs w:val="18"/>
                <w:lang w:eastAsia="zh-CN"/>
              </w:rPr>
              <w:t>补贴</w:t>
            </w:r>
            <w:r>
              <w:rPr>
                <w:rFonts w:hint="eastAsia" w:ascii="宋体" w:hAnsi="宋体" w:eastAsia="宋体" w:cs="宋体"/>
                <w:color w:val="000000"/>
                <w:kern w:val="0"/>
                <w:sz w:val="18"/>
                <w:szCs w:val="18"/>
              </w:rPr>
              <w:t>申领和发放信息</w:t>
            </w:r>
          </w:p>
        </w:tc>
        <w:tc>
          <w:tcPr>
            <w:tcW w:w="1331"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●本行政区域各项老年人补贴申领数量</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●本行政区域各项老年人补贴申领审核通过数量</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●本行政区域各项老年人补贴申领审核通过名单</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●本行政区域各项老年人补贴发放总金额</w:t>
            </w:r>
          </w:p>
        </w:tc>
        <w:tc>
          <w:tcPr>
            <w:tcW w:w="3130" w:type="dxa"/>
            <w:shd w:val="clear" w:color="auto" w:fill="auto"/>
            <w:vAlign w:val="center"/>
          </w:tcPr>
          <w:p>
            <w:pPr>
              <w:overflowPunct w:val="0"/>
              <w:snapToGrid w:val="0"/>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●《中华人民共和国老年人权益保障法》                               ●《财政部 民政部 全国老龄办关于建立健全经济困难的高龄 失能等老年人补贴制度的通知》                                                                                             ●《</w:t>
            </w:r>
            <w:r>
              <w:rPr>
                <w:rFonts w:hint="eastAsia" w:ascii="宋体" w:hAnsi="宋体" w:eastAsia="宋体" w:cs="宋体"/>
                <w:color w:val="000000"/>
                <w:kern w:val="0"/>
                <w:sz w:val="18"/>
                <w:szCs w:val="18"/>
                <w:lang w:eastAsia="zh-CN"/>
              </w:rPr>
              <w:t>甘肃省</w:t>
            </w:r>
            <w:r>
              <w:rPr>
                <w:rFonts w:hint="eastAsia" w:ascii="宋体" w:hAnsi="宋体" w:eastAsia="宋体" w:cs="宋体"/>
                <w:color w:val="000000"/>
                <w:kern w:val="0"/>
                <w:sz w:val="18"/>
                <w:szCs w:val="18"/>
              </w:rPr>
              <w:t>老年人权益保障条例》</w:t>
            </w:r>
          </w:p>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w:t>
            </w:r>
            <w:r>
              <w:rPr>
                <w:rFonts w:hint="eastAsia" w:ascii="宋体" w:hAnsi="宋体" w:eastAsia="宋体" w:cs="宋体"/>
                <w:color w:val="000000"/>
                <w:kern w:val="0"/>
                <w:sz w:val="18"/>
                <w:szCs w:val="18"/>
                <w:lang w:eastAsia="zh-CN"/>
              </w:rPr>
              <w:t>《甘肃省养老服务条例》</w:t>
            </w:r>
            <w:r>
              <w:rPr>
                <w:rFonts w:hint="eastAsia" w:ascii="宋体" w:hAnsi="宋体" w:eastAsia="宋体" w:cs="宋体"/>
                <w:color w:val="000000"/>
                <w:kern w:val="0"/>
                <w:sz w:val="18"/>
                <w:szCs w:val="18"/>
              </w:rPr>
              <w:t xml:space="preserve">                               ●《</w:t>
            </w:r>
            <w:r>
              <w:rPr>
                <w:rFonts w:hint="eastAsia" w:ascii="宋体" w:hAnsi="宋体" w:eastAsia="宋体" w:cs="宋体"/>
                <w:color w:val="000000"/>
                <w:kern w:val="0"/>
                <w:sz w:val="18"/>
                <w:szCs w:val="18"/>
                <w:lang w:eastAsia="zh-CN"/>
              </w:rPr>
              <w:t>甘肃省民政厅甘肃省财政厅甘肃省老龄办关于建立经济困难老年人补贴制度的</w:t>
            </w:r>
            <w:r>
              <w:rPr>
                <w:rFonts w:hint="eastAsia" w:ascii="宋体" w:hAnsi="宋体" w:eastAsia="宋体" w:cs="宋体"/>
                <w:color w:val="000000"/>
                <w:kern w:val="0"/>
                <w:sz w:val="18"/>
                <w:szCs w:val="18"/>
              </w:rPr>
              <w:t xml:space="preserve">通知》                           </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●各地相关政策法规文件</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●信息公开规定</w:t>
            </w:r>
          </w:p>
        </w:tc>
        <w:tc>
          <w:tcPr>
            <w:tcW w:w="597"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每20个工作日更新</w:t>
            </w:r>
          </w:p>
        </w:tc>
        <w:tc>
          <w:tcPr>
            <w:tcW w:w="820"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lang w:eastAsia="zh-CN"/>
              </w:rPr>
              <w:t>县（市、区）</w:t>
            </w:r>
            <w:r>
              <w:rPr>
                <w:rFonts w:hint="eastAsia" w:ascii="宋体" w:hAnsi="宋体" w:eastAsia="宋体" w:cs="宋体"/>
                <w:color w:val="000000"/>
                <w:kern w:val="0"/>
                <w:sz w:val="18"/>
                <w:szCs w:val="18"/>
              </w:rPr>
              <w:t>级人民政府民政部门</w:t>
            </w:r>
          </w:p>
        </w:tc>
        <w:tc>
          <w:tcPr>
            <w:tcW w:w="1613" w:type="dxa"/>
            <w:shd w:val="clear" w:color="auto" w:fill="auto"/>
            <w:vAlign w:val="center"/>
          </w:tcPr>
          <w:p>
            <w:pPr>
              <w:overflowPunct w:val="0"/>
              <w:snapToGrid w:val="0"/>
              <w:jc w:val="left"/>
              <w:rPr>
                <w:rFonts w:ascii="宋体" w:hAnsi="宋体" w:eastAsia="宋体" w:cs="宋体"/>
                <w:kern w:val="0"/>
                <w:sz w:val="18"/>
                <w:szCs w:val="18"/>
              </w:rPr>
            </w:pPr>
            <w:r>
              <w:rPr>
                <w:rFonts w:hint="eastAsia" w:ascii="宋体" w:hAnsi="宋体" w:eastAsia="宋体" w:cs="宋体"/>
                <w:kern w:val="0"/>
                <w:sz w:val="18"/>
                <w:szCs w:val="18"/>
              </w:rPr>
              <w:t>■</w:t>
            </w:r>
            <w:r>
              <w:rPr>
                <w:rFonts w:hint="eastAsia" w:ascii="宋体" w:hAnsi="宋体" w:eastAsia="宋体" w:cs="宋体"/>
                <w:color w:val="000000"/>
                <w:kern w:val="0"/>
                <w:sz w:val="18"/>
                <w:szCs w:val="18"/>
              </w:rPr>
              <w:t>政府网站    □政府公报                                                                                                                                                                                                                ■两微一端    □发布会/听证会                                                                                                                                                                                              □广播电视    □纸质媒体                                                                                                                                                                                                   □公开查阅点  ■政府服务中心                                                                                                                                                                                                    □便民服务站  □入户/现场                                                                                                                                                                                                   □社区/企事业单位/村公示栏</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（电子屏）                                                                                                                                                                                          □精准推送    □其他     </w:t>
            </w:r>
          </w:p>
        </w:tc>
        <w:tc>
          <w:tcPr>
            <w:tcW w:w="573"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535"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16"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597"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16"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81"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32"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451"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11</w:t>
            </w:r>
          </w:p>
        </w:tc>
        <w:tc>
          <w:tcPr>
            <w:tcW w:w="761"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lang w:eastAsia="zh-CN"/>
              </w:rPr>
              <w:t>养老服务</w:t>
            </w:r>
            <w:r>
              <w:rPr>
                <w:rFonts w:hint="eastAsia" w:ascii="宋体" w:hAnsi="宋体" w:eastAsia="宋体" w:cs="宋体"/>
                <w:color w:val="000000"/>
                <w:kern w:val="0"/>
                <w:sz w:val="18"/>
                <w:szCs w:val="18"/>
              </w:rPr>
              <w:t>行业管理</w:t>
            </w:r>
          </w:p>
        </w:tc>
        <w:tc>
          <w:tcPr>
            <w:tcW w:w="790"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lang w:eastAsia="zh-CN"/>
              </w:rPr>
              <w:t>养老</w:t>
            </w:r>
            <w:r>
              <w:rPr>
                <w:rFonts w:hint="eastAsia" w:ascii="宋体" w:hAnsi="宋体" w:eastAsia="宋体" w:cs="宋体"/>
                <w:color w:val="000000"/>
                <w:kern w:val="0"/>
                <w:sz w:val="18"/>
                <w:szCs w:val="18"/>
              </w:rPr>
              <w:t>机构评估信息</w:t>
            </w:r>
          </w:p>
        </w:tc>
        <w:tc>
          <w:tcPr>
            <w:tcW w:w="1331"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●本行政区域养老机构评估事项（综合评估、标准评定等）申请数量</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●本行政区域养老机构评估总体结果（综合评估、标准评估等）</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●本行政区域养老机构评估机构清单（综合评估、标准评估等）</w:t>
            </w:r>
          </w:p>
        </w:tc>
        <w:tc>
          <w:tcPr>
            <w:tcW w:w="3130"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●《养老机构管理办法》 </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●《养老机构等级划分与评定》（GB/T37276-2018)                      ●《养老机构服务质量基本规范》（GB/T35796-2017）                   ●信息公开规定</w:t>
            </w:r>
          </w:p>
        </w:tc>
        <w:tc>
          <w:tcPr>
            <w:tcW w:w="597"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制定或获取评估结果之日起10个工作日内</w:t>
            </w:r>
          </w:p>
        </w:tc>
        <w:tc>
          <w:tcPr>
            <w:tcW w:w="820"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lang w:eastAsia="zh-CN"/>
              </w:rPr>
              <w:t>市（州）、县（市、区）人民政府民政部门</w:t>
            </w:r>
          </w:p>
        </w:tc>
        <w:tc>
          <w:tcPr>
            <w:tcW w:w="1613" w:type="dxa"/>
            <w:shd w:val="clear" w:color="auto" w:fill="auto"/>
            <w:vAlign w:val="center"/>
          </w:tcPr>
          <w:p>
            <w:pPr>
              <w:overflowPunct w:val="0"/>
              <w:snapToGrid w:val="0"/>
              <w:jc w:val="left"/>
              <w:rPr>
                <w:rFonts w:ascii="宋体" w:hAnsi="宋体" w:eastAsia="宋体" w:cs="宋体"/>
                <w:kern w:val="0"/>
                <w:sz w:val="18"/>
                <w:szCs w:val="18"/>
              </w:rPr>
            </w:pPr>
            <w:r>
              <w:rPr>
                <w:rFonts w:hint="eastAsia" w:ascii="宋体" w:hAnsi="宋体" w:eastAsia="宋体" w:cs="宋体"/>
                <w:kern w:val="0"/>
                <w:sz w:val="18"/>
                <w:szCs w:val="18"/>
              </w:rPr>
              <w:t>■</w:t>
            </w:r>
            <w:r>
              <w:rPr>
                <w:rFonts w:hint="eastAsia" w:ascii="宋体" w:hAnsi="宋体" w:eastAsia="宋体" w:cs="宋体"/>
                <w:color w:val="000000"/>
                <w:kern w:val="0"/>
                <w:sz w:val="18"/>
                <w:szCs w:val="18"/>
              </w:rPr>
              <w:t>政府网站    □政府公报                                                                                                                                                                                                                ■两微一端    □发布会/听证会                                                                                                                                                                                              □广播电视    □纸质媒体                                                                                                                                                                                                   □公开查阅点  ■政府服务中心                                                                                                                                                                                                    □便民服务站  □入户/现场                                                                                                                                                                                                   □社区/企事业单位/村公示栏</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（电子屏）                                                                                                                                                                                          □精准推送    □其他     </w:t>
            </w:r>
          </w:p>
        </w:tc>
        <w:tc>
          <w:tcPr>
            <w:tcW w:w="573"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535"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16"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597"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16"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581"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32"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29" w:hRule="atLeast"/>
          <w:jc w:val="center"/>
        </w:trPr>
        <w:tc>
          <w:tcPr>
            <w:tcW w:w="451"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12</w:t>
            </w:r>
          </w:p>
        </w:tc>
        <w:tc>
          <w:tcPr>
            <w:tcW w:w="761"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lang w:eastAsia="zh-CN"/>
              </w:rPr>
              <w:t>养老服务</w:t>
            </w:r>
            <w:r>
              <w:rPr>
                <w:rFonts w:hint="eastAsia" w:ascii="宋体" w:hAnsi="宋体" w:eastAsia="宋体" w:cs="宋体"/>
                <w:color w:val="000000"/>
                <w:kern w:val="0"/>
                <w:sz w:val="18"/>
                <w:szCs w:val="18"/>
              </w:rPr>
              <w:t>行业管理</w:t>
            </w:r>
          </w:p>
        </w:tc>
        <w:tc>
          <w:tcPr>
            <w:tcW w:w="790" w:type="dxa"/>
            <w:shd w:val="clear" w:color="auto" w:fill="auto"/>
            <w:vAlign w:val="center"/>
          </w:tcPr>
          <w:p>
            <w:pPr>
              <w:overflowPunct w:val="0"/>
              <w:snapToGrid w:val="0"/>
              <w:jc w:val="left"/>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eastAsia="zh-CN"/>
              </w:rPr>
              <w:t>民政部门负责的养老机构</w:t>
            </w:r>
            <w:r>
              <w:rPr>
                <w:rFonts w:hint="eastAsia" w:ascii="宋体" w:hAnsi="宋体" w:eastAsia="宋体" w:cs="宋体"/>
                <w:color w:val="000000"/>
                <w:kern w:val="0"/>
                <w:sz w:val="18"/>
                <w:szCs w:val="18"/>
              </w:rPr>
              <w:t>行政处罚</w:t>
            </w:r>
            <w:r>
              <w:rPr>
                <w:rFonts w:hint="eastAsia" w:ascii="宋体" w:hAnsi="宋体" w:eastAsia="宋体" w:cs="宋体"/>
                <w:color w:val="000000"/>
                <w:kern w:val="0"/>
                <w:sz w:val="18"/>
                <w:szCs w:val="18"/>
                <w:lang w:eastAsia="zh-CN"/>
              </w:rPr>
              <w:t>信息</w:t>
            </w:r>
          </w:p>
        </w:tc>
        <w:tc>
          <w:tcPr>
            <w:tcW w:w="1331"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●行政处罚事项及标准</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●行政处罚结果</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●行政复议、行政诉讼、监督方式及电话</w:t>
            </w:r>
          </w:p>
        </w:tc>
        <w:tc>
          <w:tcPr>
            <w:tcW w:w="3130" w:type="dxa"/>
            <w:shd w:val="clear" w:color="auto" w:fill="auto"/>
            <w:vAlign w:val="center"/>
          </w:tcPr>
          <w:p>
            <w:pPr>
              <w:overflowPunct w:val="0"/>
              <w:snapToGrid w:val="0"/>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●《中华人民共和国老年人权益保障法》</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●《中华人民共和国行政强制法》、《中华人民共和国行政处罚法》及其他有关法律、行政法规                   </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●《养老机构管理办法》</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w:t>
            </w:r>
            <w:r>
              <w:rPr>
                <w:rFonts w:hint="eastAsia" w:ascii="宋体" w:hAnsi="宋体" w:eastAsia="宋体" w:cs="宋体"/>
                <w:color w:val="000000"/>
                <w:kern w:val="0"/>
                <w:sz w:val="18"/>
                <w:szCs w:val="18"/>
                <w:lang w:eastAsia="zh-CN"/>
              </w:rPr>
              <w:t>甘肃省老年人权益保障条例</w:t>
            </w:r>
            <w:r>
              <w:rPr>
                <w:rFonts w:hint="eastAsia" w:ascii="宋体" w:hAnsi="宋体" w:eastAsia="宋体" w:cs="宋体"/>
                <w:color w:val="000000"/>
                <w:kern w:val="0"/>
                <w:sz w:val="18"/>
                <w:szCs w:val="18"/>
              </w:rPr>
              <w:t>》</w:t>
            </w:r>
          </w:p>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r>
              <w:rPr>
                <w:rFonts w:hint="eastAsia" w:ascii="宋体" w:hAnsi="宋体" w:eastAsia="宋体" w:cs="宋体"/>
                <w:color w:val="000000"/>
                <w:kern w:val="0"/>
                <w:sz w:val="18"/>
                <w:szCs w:val="18"/>
                <w:lang w:eastAsia="zh-CN"/>
              </w:rPr>
              <w:t>甘肃省养老服务条例</w:t>
            </w:r>
            <w:r>
              <w:rPr>
                <w:rFonts w:hint="eastAsia" w:ascii="宋体" w:hAnsi="宋体" w:eastAsia="宋体" w:cs="宋体"/>
                <w:color w:val="000000"/>
                <w:kern w:val="0"/>
                <w:sz w:val="18"/>
                <w:szCs w:val="18"/>
              </w:rPr>
              <w:t>》</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●信息公开规定</w:t>
            </w:r>
          </w:p>
        </w:tc>
        <w:tc>
          <w:tcPr>
            <w:tcW w:w="597"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行政处罚决定做出之日起5个工作日内</w:t>
            </w:r>
          </w:p>
        </w:tc>
        <w:tc>
          <w:tcPr>
            <w:tcW w:w="820"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县</w:t>
            </w:r>
            <w:r>
              <w:rPr>
                <w:rFonts w:hint="eastAsia" w:ascii="宋体" w:hAnsi="宋体" w:eastAsia="宋体" w:cs="宋体"/>
                <w:color w:val="000000"/>
                <w:kern w:val="0"/>
                <w:sz w:val="18"/>
                <w:szCs w:val="18"/>
                <w:lang w:eastAsia="zh-CN"/>
              </w:rPr>
              <w:t>（市、区）</w:t>
            </w:r>
            <w:r>
              <w:rPr>
                <w:rFonts w:hint="eastAsia" w:ascii="宋体" w:hAnsi="宋体" w:eastAsia="宋体" w:cs="宋体"/>
                <w:color w:val="000000"/>
                <w:kern w:val="0"/>
                <w:sz w:val="18"/>
                <w:szCs w:val="18"/>
              </w:rPr>
              <w:t>级人民政府民政部门</w:t>
            </w:r>
          </w:p>
        </w:tc>
        <w:tc>
          <w:tcPr>
            <w:tcW w:w="1613" w:type="dxa"/>
            <w:shd w:val="clear" w:color="auto" w:fill="auto"/>
            <w:vAlign w:val="center"/>
          </w:tcPr>
          <w:p>
            <w:pPr>
              <w:overflowPunct w:val="0"/>
              <w:snapToGrid w:val="0"/>
              <w:jc w:val="left"/>
              <w:rPr>
                <w:rFonts w:ascii="宋体" w:hAnsi="宋体" w:eastAsia="宋体" w:cs="宋体"/>
                <w:kern w:val="0"/>
                <w:sz w:val="18"/>
                <w:szCs w:val="18"/>
              </w:rPr>
            </w:pPr>
            <w:r>
              <w:rPr>
                <w:rFonts w:hint="eastAsia" w:ascii="宋体" w:hAnsi="宋体" w:eastAsia="宋体" w:cs="宋体"/>
                <w:kern w:val="0"/>
                <w:sz w:val="18"/>
                <w:szCs w:val="18"/>
              </w:rPr>
              <w:t>■</w:t>
            </w:r>
            <w:r>
              <w:rPr>
                <w:rFonts w:hint="eastAsia" w:ascii="宋体" w:hAnsi="宋体" w:eastAsia="宋体" w:cs="宋体"/>
                <w:color w:val="000000"/>
                <w:kern w:val="0"/>
                <w:sz w:val="18"/>
                <w:szCs w:val="18"/>
              </w:rPr>
              <w:t>政府网站    □政府公报                                                                                                                                                                                                                ■两微一端    □发布会/听证会                                                                                                                                                                                              □广播电视    □纸质媒体                                                                                                                                                                                                   □公开查阅点  ■政府服务中心                                                                                                                                                                                                    □便民服务站  □入户/现场                                                                                                                                                                                                   □社区/企事业单位/村公示栏</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（电子屏）                                                                                                                                                                                          □精准推送    □其他     </w:t>
            </w:r>
          </w:p>
        </w:tc>
        <w:tc>
          <w:tcPr>
            <w:tcW w:w="573"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535"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16"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597"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16"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81"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32"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bl>
    <w:p>
      <w:pPr>
        <w:overflowPunct w:val="0"/>
        <w:adjustRightInd w:val="0"/>
        <w:snapToGrid w:val="0"/>
        <w:rPr>
          <w:sz w:val="28"/>
          <w:szCs w:val="32"/>
        </w:rPr>
      </w:pPr>
    </w:p>
    <w:p>
      <w:pPr>
        <w:overflowPunct w:val="0"/>
        <w:adjustRightInd w:val="0"/>
        <w:snapToGrid w:val="0"/>
        <w:rPr>
          <w:sz w:val="28"/>
          <w:szCs w:val="32"/>
        </w:rPr>
      </w:pPr>
    </w:p>
    <w:p>
      <w:pPr>
        <w:overflowPunct w:val="0"/>
        <w:adjustRightInd w:val="0"/>
        <w:snapToGrid w:val="0"/>
        <w:rPr>
          <w:sz w:val="28"/>
          <w:szCs w:val="32"/>
        </w:rPr>
      </w:pPr>
    </w:p>
    <w:p>
      <w:pPr>
        <w:overflowPunct w:val="0"/>
        <w:adjustRightInd w:val="0"/>
        <w:snapToGrid w:val="0"/>
        <w:rPr>
          <w:sz w:val="28"/>
          <w:szCs w:val="32"/>
        </w:rPr>
      </w:pPr>
    </w:p>
    <w:p>
      <w:pPr>
        <w:overflowPunct w:val="0"/>
        <w:adjustRightInd w:val="0"/>
        <w:snapToGrid w:val="0"/>
        <w:rPr>
          <w:sz w:val="28"/>
          <w:szCs w:val="32"/>
        </w:rPr>
      </w:pPr>
    </w:p>
    <w:p>
      <w:pPr>
        <w:overflowPunct w:val="0"/>
        <w:adjustRightInd w:val="0"/>
        <w:snapToGrid w:val="0"/>
        <w:rPr>
          <w:sz w:val="28"/>
          <w:szCs w:val="32"/>
        </w:rPr>
      </w:pPr>
    </w:p>
    <w:p>
      <w:pPr>
        <w:overflowPunct w:val="0"/>
        <w:adjustRightInd w:val="0"/>
        <w:snapToGrid w:val="0"/>
        <w:rPr>
          <w:sz w:val="28"/>
          <w:szCs w:val="32"/>
        </w:rPr>
      </w:pPr>
    </w:p>
    <w:sectPr>
      <w:headerReference r:id="rId4" w:type="first"/>
      <w:footerReference r:id="rId7" w:type="first"/>
      <w:footerReference r:id="rId5" w:type="default"/>
      <w:headerReference r:id="rId3" w:type="even"/>
      <w:footerReference r:id="rId6" w:type="even"/>
      <w:pgSz w:w="16838" w:h="11906" w:orient="landscape"/>
      <w:pgMar w:top="1531" w:right="2098" w:bottom="1531" w:left="1985" w:header="851" w:footer="1474" w:gutter="0"/>
      <w:cols w:space="425" w:num="1"/>
      <w:titlePg/>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3000509000000000000"/>
    <w:charset w:val="86"/>
    <w:family w:val="script"/>
    <w:pitch w:val="default"/>
    <w:sig w:usb0="00000000" w:usb1="00000000" w:usb2="0000001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sz w:val="28"/>
        <w:szCs w:val="28"/>
      </w:rPr>
    </w:pPr>
    <w:r>
      <mc:AlternateContent>
        <mc:Choice Requires="wps">
          <w:drawing>
            <wp:anchor distT="0" distB="0" distL="114300" distR="114300" simplePos="0" relativeHeight="251666432" behindDoc="0" locked="0" layoutInCell="1" allowOverlap="1">
              <wp:simplePos x="0" y="0"/>
              <wp:positionH relativeFrom="column">
                <wp:posOffset>-843915</wp:posOffset>
              </wp:positionH>
              <wp:positionV relativeFrom="paragraph">
                <wp:posOffset>-666750</wp:posOffset>
              </wp:positionV>
              <wp:extent cx="402590" cy="723900"/>
              <wp:effectExtent l="0" t="0" r="0" b="0"/>
              <wp:wrapSquare wrapText="bothSides"/>
              <wp:docPr id="2" name="文本框 4"/>
              <wp:cNvGraphicFramePr/>
              <a:graphic xmlns:a="http://schemas.openxmlformats.org/drawingml/2006/main">
                <a:graphicData uri="http://schemas.microsoft.com/office/word/2010/wordprocessingShape">
                  <wps:wsp>
                    <wps:cNvSpPr txBox="1"/>
                    <wps:spPr>
                      <a:xfrm>
                        <a:off x="0" y="0"/>
                        <a:ext cx="402590" cy="723900"/>
                      </a:xfrm>
                      <a:prstGeom prst="rect">
                        <a:avLst/>
                      </a:prstGeom>
                      <a:solidFill>
                        <a:srgbClr val="FFFFFF">
                          <a:alpha val="0"/>
                        </a:srgbClr>
                      </a:solidFill>
                      <a:ln>
                        <a:noFill/>
                      </a:ln>
                    </wps:spPr>
                    <wps:txbx>
                      <w:txbxContent>
                        <w:p>
                          <w:pPr>
                            <w:pStyle w:val="5"/>
                            <w:jc w:val="right"/>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13</w:t>
                          </w:r>
                          <w:r>
                            <w:rPr>
                              <w:sz w:val="28"/>
                              <w:szCs w:val="28"/>
                            </w:rPr>
                            <w:fldChar w:fldCharType="end"/>
                          </w:r>
                          <w:r>
                            <w:rPr>
                              <w:sz w:val="28"/>
                              <w:szCs w:val="28"/>
                            </w:rPr>
                            <w:t xml:space="preserve"> —</w:t>
                          </w:r>
                        </w:p>
                      </w:txbxContent>
                    </wps:txbx>
                    <wps:bodyPr vert="eaVert" wrap="none" upright="1">
                      <a:spAutoFit/>
                    </wps:bodyPr>
                  </wps:wsp>
                </a:graphicData>
              </a:graphic>
            </wp:anchor>
          </w:drawing>
        </mc:Choice>
        <mc:Fallback>
          <w:pict>
            <v:shape id="文本框 4" o:spid="_x0000_s1026" o:spt="202" type="#_x0000_t202" style="position:absolute;left:0pt;margin-left:-66.45pt;margin-top:-52.5pt;height:57pt;width:31.7pt;mso-wrap-distance-bottom:0pt;mso-wrap-distance-left:9pt;mso-wrap-distance-right:9pt;mso-wrap-distance-top:0pt;mso-wrap-style:none;z-index:251666432;mso-width-relative:page;mso-height-relative:page;" fillcolor="#FFFFFF" filled="t" stroked="f" coordsize="21600,21600" o:gfxdata="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&#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OsOLQNgAAAALAQAADwAAAAAAAAABACAAAAAiAAAAZHJz&#10;L2Rvd25yZXYueG1sUEsBAhQAFAAAAAgAh07iQH927GLLAQAAeQMAAA4AAAAAAAAAAQAgAAAAJwEA&#10;AGRycy9lMm9Eb2MueG1sUEsFBgAAAAAGAAYAWQEAAGQFAAAAAA==&#10;">
              <v:fill on="t" opacity="0f" focussize="0,0"/>
              <v:stroke on="f"/>
              <v:imagedata o:title=""/>
              <o:lock v:ext="edit" aspectratio="f"/>
              <v:textbox style="layout-flow:vertical-ideographic;mso-fit-shape-to-text:t;">
                <w:txbxContent>
                  <w:p>
                    <w:pPr>
                      <w:pStyle w:val="5"/>
                      <w:jc w:val="right"/>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13</w:t>
                    </w:r>
                    <w:r>
                      <w:rPr>
                        <w:sz w:val="28"/>
                        <w:szCs w:val="28"/>
                      </w:rPr>
                      <w:fldChar w:fldCharType="end"/>
                    </w:r>
                    <w:r>
                      <w:rPr>
                        <w:sz w:val="28"/>
                        <w:szCs w:val="28"/>
                      </w:rPr>
                      <w:t xml:space="preserve"> —</w:t>
                    </w:r>
                  </w:p>
                </w:txbxContent>
              </v:textbox>
              <w10:wrap type="squar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sz w:val="28"/>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sz w:val="28"/>
        <w:szCs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68480" behindDoc="0" locked="0" layoutInCell="1" allowOverlap="1">
              <wp:simplePos x="0" y="0"/>
              <wp:positionH relativeFrom="column">
                <wp:posOffset>-828675</wp:posOffset>
              </wp:positionH>
              <wp:positionV relativeFrom="paragraph">
                <wp:posOffset>469265</wp:posOffset>
              </wp:positionV>
              <wp:extent cx="402590" cy="723900"/>
              <wp:effectExtent l="0" t="0" r="0" b="0"/>
              <wp:wrapSquare wrapText="bothSides"/>
              <wp:docPr id="3" name="文本框 5"/>
              <wp:cNvGraphicFramePr/>
              <a:graphic xmlns:a="http://schemas.openxmlformats.org/drawingml/2006/main">
                <a:graphicData uri="http://schemas.microsoft.com/office/word/2010/wordprocessingShape">
                  <wps:wsp>
                    <wps:cNvSpPr txBox="1"/>
                    <wps:spPr>
                      <a:xfrm>
                        <a:off x="0" y="0"/>
                        <a:ext cx="402590" cy="723900"/>
                      </a:xfrm>
                      <a:prstGeom prst="rect">
                        <a:avLst/>
                      </a:prstGeom>
                      <a:solidFill>
                        <a:srgbClr val="FFFFFF">
                          <a:alpha val="0"/>
                        </a:srgbClr>
                      </a:solidFill>
                      <a:ln>
                        <a:noFill/>
                      </a:ln>
                    </wps:spPr>
                    <wps:txbx>
                      <w:txbxContent>
                        <w:p>
                          <w:pPr>
                            <w:pStyle w:val="5"/>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14</w:t>
                          </w:r>
                          <w:r>
                            <w:rPr>
                              <w:sz w:val="28"/>
                              <w:szCs w:val="28"/>
                            </w:rPr>
                            <w:fldChar w:fldCharType="end"/>
                          </w:r>
                          <w:r>
                            <w:rPr>
                              <w:sz w:val="28"/>
                              <w:szCs w:val="28"/>
                            </w:rPr>
                            <w:t xml:space="preserve"> —</w:t>
                          </w:r>
                        </w:p>
                      </w:txbxContent>
                    </wps:txbx>
                    <wps:bodyPr vert="eaVert" wrap="none" upright="1">
                      <a:spAutoFit/>
                    </wps:bodyPr>
                  </wps:wsp>
                </a:graphicData>
              </a:graphic>
            </wp:anchor>
          </w:drawing>
        </mc:Choice>
        <mc:Fallback>
          <w:pict>
            <v:shape id="文本框 5" o:spid="_x0000_s1026" o:spt="202" type="#_x0000_t202" style="position:absolute;left:0pt;margin-left:-65.25pt;margin-top:36.95pt;height:57pt;width:31.7pt;mso-wrap-distance-bottom:0pt;mso-wrap-distance-left:9pt;mso-wrap-distance-right:9pt;mso-wrap-distance-top:0pt;mso-wrap-style:none;z-index:251668480;mso-width-relative:page;mso-height-relative:page;" fillcolor="#FFFFFF" filled="t" stroked="f" coordsize="21600,21600" o:gfxdata="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nFKCE2QAAAAsBAAAPAAAAAAAAAAEAIAAAACIAAABk&#10;cnMvZG93bnJldi54bWxQSwECFAAUAAAACACHTuJAdTSRIcwBAAB5AwAADgAAAAAAAAABACAAAAAo&#10;AQAAZHJzL2Uyb0RvYy54bWxQSwUGAAAAAAYABgBZAQAAZgUAAAAA&#10;">
              <v:fill on="t" opacity="0f" focussize="0,0"/>
              <v:stroke on="f"/>
              <v:imagedata o:title=""/>
              <o:lock v:ext="edit" aspectratio="f"/>
              <v:textbox style="layout-flow:vertical-ideographic;mso-fit-shape-to-text:t;">
                <w:txbxContent>
                  <w:p>
                    <w:pPr>
                      <w:pStyle w:val="5"/>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14</w:t>
                    </w:r>
                    <w:r>
                      <w:rPr>
                        <w:sz w:val="28"/>
                        <w:szCs w:val="28"/>
                      </w:rPr>
                      <w:fldChar w:fldCharType="end"/>
                    </w:r>
                    <w:r>
                      <w:rPr>
                        <w:sz w:val="28"/>
                        <w:szCs w:val="28"/>
                      </w:rPr>
                      <w:t xml:space="preserve"> —</w:t>
                    </w:r>
                  </w:p>
                </w:txbxContent>
              </v:textbox>
              <w10:wrap type="squar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64384" behindDoc="0" locked="0" layoutInCell="1" allowOverlap="1">
              <wp:simplePos x="0" y="0"/>
              <wp:positionH relativeFrom="column">
                <wp:posOffset>-695325</wp:posOffset>
              </wp:positionH>
              <wp:positionV relativeFrom="paragraph">
                <wp:posOffset>421640</wp:posOffset>
              </wp:positionV>
              <wp:extent cx="402590" cy="723900"/>
              <wp:effectExtent l="0" t="0" r="0" b="0"/>
              <wp:wrapSquare wrapText="bothSides"/>
              <wp:docPr id="1" name="文本框 3"/>
              <wp:cNvGraphicFramePr/>
              <a:graphic xmlns:a="http://schemas.openxmlformats.org/drawingml/2006/main">
                <a:graphicData uri="http://schemas.microsoft.com/office/word/2010/wordprocessingShape">
                  <wps:wsp>
                    <wps:cNvSpPr txBox="1"/>
                    <wps:spPr>
                      <a:xfrm>
                        <a:off x="0" y="0"/>
                        <a:ext cx="402590" cy="723900"/>
                      </a:xfrm>
                      <a:prstGeom prst="rect">
                        <a:avLst/>
                      </a:prstGeom>
                      <a:solidFill>
                        <a:srgbClr val="FFFFFF">
                          <a:alpha val="0"/>
                        </a:srgbClr>
                      </a:solidFill>
                      <a:ln>
                        <a:noFill/>
                      </a:ln>
                    </wps:spPr>
                    <wps:txbx>
                      <w:txbxContent>
                        <w:p>
                          <w:pPr>
                            <w:pStyle w:val="5"/>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4</w:t>
                          </w:r>
                          <w:r>
                            <w:rPr>
                              <w:sz w:val="28"/>
                              <w:szCs w:val="28"/>
                            </w:rPr>
                            <w:fldChar w:fldCharType="end"/>
                          </w:r>
                          <w:r>
                            <w:rPr>
                              <w:sz w:val="28"/>
                              <w:szCs w:val="28"/>
                            </w:rPr>
                            <w:t xml:space="preserve"> —</w:t>
                          </w:r>
                        </w:p>
                      </w:txbxContent>
                    </wps:txbx>
                    <wps:bodyPr vert="eaVert" wrap="none" upright="1">
                      <a:spAutoFit/>
                    </wps:bodyPr>
                  </wps:wsp>
                </a:graphicData>
              </a:graphic>
            </wp:anchor>
          </w:drawing>
        </mc:Choice>
        <mc:Fallback>
          <w:pict>
            <v:shape id="文本框 3" o:spid="_x0000_s1026" o:spt="202" type="#_x0000_t202" style="position:absolute;left:0pt;margin-left:-54.75pt;margin-top:33.2pt;height:57pt;width:31.7pt;mso-wrap-distance-bottom:0pt;mso-wrap-distance-left:9pt;mso-wrap-distance-right:9pt;mso-wrap-distance-top:0pt;mso-wrap-style:none;z-index:251664384;mso-width-relative:page;mso-height-relative:page;" fillcolor="#FFFFFF" filled="t" stroked="f" coordsize="21600,21600" o:gfxdata="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&#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IeMUW/ZAAAACwEAAA8AAAAAAAAAAQAgAAAAIgAAAGRy&#10;cy9kb3ducmV2LnhtbFBLAQIUABQAAAAIAIdO4kAfdbdEywEAAHkDAAAOAAAAAAAAAAEAIAAAACgB&#10;AABkcnMvZTJvRG9jLnhtbFBLBQYAAAAABgAGAFkBAABlBQAAAAA=&#10;">
              <v:fill on="t" opacity="0f" focussize="0,0"/>
              <v:stroke on="f"/>
              <v:imagedata o:title=""/>
              <o:lock v:ext="edit" aspectratio="f"/>
              <v:textbox style="layout-flow:vertical-ideographic;mso-fit-shape-to-text:t;">
                <w:txbxContent>
                  <w:p>
                    <w:pPr>
                      <w:pStyle w:val="5"/>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4</w:t>
                    </w:r>
                    <w:r>
                      <w:rPr>
                        <w:sz w:val="28"/>
                        <w:szCs w:val="28"/>
                      </w:rPr>
                      <w:fldChar w:fldCharType="end"/>
                    </w:r>
                    <w:r>
                      <w:rPr>
                        <w:sz w:val="28"/>
                        <w:szCs w:val="28"/>
                      </w:rPr>
                      <w:t xml:space="preserve"> —</w:t>
                    </w:r>
                  </w:p>
                </w:txbxContent>
              </v:textbox>
              <w10:wrap type="squar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bordersDoNotSurroundHeader w:val="1"/>
  <w:bordersDoNotSurroundFooter w:val="1"/>
  <w:documentProtection w:enforcement="0"/>
  <w:defaultTabStop w:val="420"/>
  <w:evenAndOddHeaders w:val="1"/>
  <w:drawingGridHorizontalSpacing w:val="160"/>
  <w:drawingGridVerticalSpacing w:val="435"/>
  <w:displayHorizontalDrawingGridEvery w:val="0"/>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6056"/>
    <w:rsid w:val="00023CCD"/>
    <w:rsid w:val="00114327"/>
    <w:rsid w:val="00136381"/>
    <w:rsid w:val="00194C0A"/>
    <w:rsid w:val="001C5EA9"/>
    <w:rsid w:val="001D5FDC"/>
    <w:rsid w:val="001E7F0B"/>
    <w:rsid w:val="001F6056"/>
    <w:rsid w:val="002512FC"/>
    <w:rsid w:val="002B71E8"/>
    <w:rsid w:val="002C7F60"/>
    <w:rsid w:val="002F10A2"/>
    <w:rsid w:val="00310579"/>
    <w:rsid w:val="00366A2B"/>
    <w:rsid w:val="003A465C"/>
    <w:rsid w:val="003D2CB3"/>
    <w:rsid w:val="00441CBB"/>
    <w:rsid w:val="00446647"/>
    <w:rsid w:val="00503DCC"/>
    <w:rsid w:val="005316B2"/>
    <w:rsid w:val="00553D6B"/>
    <w:rsid w:val="00555B1D"/>
    <w:rsid w:val="00582C00"/>
    <w:rsid w:val="005A47A1"/>
    <w:rsid w:val="005C4F1D"/>
    <w:rsid w:val="005D64ED"/>
    <w:rsid w:val="00607DA4"/>
    <w:rsid w:val="0063703F"/>
    <w:rsid w:val="006623ED"/>
    <w:rsid w:val="006870C5"/>
    <w:rsid w:val="006C12C4"/>
    <w:rsid w:val="00765B5C"/>
    <w:rsid w:val="00791120"/>
    <w:rsid w:val="007D517F"/>
    <w:rsid w:val="00811145"/>
    <w:rsid w:val="00884C26"/>
    <w:rsid w:val="00977BF8"/>
    <w:rsid w:val="009A4A8E"/>
    <w:rsid w:val="009C0738"/>
    <w:rsid w:val="009D2046"/>
    <w:rsid w:val="009E128E"/>
    <w:rsid w:val="009E4005"/>
    <w:rsid w:val="009F73D6"/>
    <w:rsid w:val="00A46FBD"/>
    <w:rsid w:val="00B009C6"/>
    <w:rsid w:val="00B03DC0"/>
    <w:rsid w:val="00B26CC8"/>
    <w:rsid w:val="00CC25ED"/>
    <w:rsid w:val="00CE0B7B"/>
    <w:rsid w:val="00D43900"/>
    <w:rsid w:val="00D450EC"/>
    <w:rsid w:val="00DC0EDA"/>
    <w:rsid w:val="00DD46AA"/>
    <w:rsid w:val="00DE2CCF"/>
    <w:rsid w:val="00E3734B"/>
    <w:rsid w:val="00E71357"/>
    <w:rsid w:val="00F41570"/>
    <w:rsid w:val="00F847F8"/>
    <w:rsid w:val="00F9032F"/>
    <w:rsid w:val="00FA1B26"/>
    <w:rsid w:val="00FD6340"/>
    <w:rsid w:val="00FE7891"/>
    <w:rsid w:val="04D46A7A"/>
    <w:rsid w:val="09794E77"/>
    <w:rsid w:val="11AA0BAD"/>
    <w:rsid w:val="129F4D51"/>
    <w:rsid w:val="16A7698B"/>
    <w:rsid w:val="366F0DD1"/>
    <w:rsid w:val="383E6290"/>
    <w:rsid w:val="3DB910B3"/>
    <w:rsid w:val="48C60E4B"/>
    <w:rsid w:val="4A2C2EB1"/>
    <w:rsid w:val="53467DDD"/>
    <w:rsid w:val="53B75560"/>
    <w:rsid w:val="6EDD080B"/>
    <w:rsid w:val="72A6322F"/>
    <w:rsid w:val="72F523AE"/>
    <w:rsid w:val="74037070"/>
    <w:rsid w:val="749F272C"/>
    <w:rsid w:val="77920AA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szCs w:val="20"/>
      <w:lang w:val="en-US" w:eastAsia="zh-CN" w:bidi="ar-SA"/>
    </w:rPr>
  </w:style>
  <w:style w:type="character" w:default="1" w:styleId="7">
    <w:name w:val="Default Paragraph Font"/>
    <w:semiHidden/>
    <w:unhideWhenUsed/>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link w:val="11"/>
    <w:qFormat/>
    <w:uiPriority w:val="0"/>
    <w:pPr>
      <w:ind w:left="100" w:leftChars="100" w:right="100" w:rightChars="100"/>
    </w:pPr>
    <w:rPr>
      <w:szCs w:val="32"/>
    </w:rPr>
  </w:style>
  <w:style w:type="paragraph" w:styleId="3">
    <w:name w:val="Date"/>
    <w:basedOn w:val="1"/>
    <w:next w:val="1"/>
    <w:link w:val="12"/>
    <w:semiHidden/>
    <w:unhideWhenUsed/>
    <w:qFormat/>
    <w:uiPriority w:val="99"/>
    <w:pPr>
      <w:ind w:left="100" w:leftChars="2500"/>
    </w:pPr>
  </w:style>
  <w:style w:type="paragraph" w:styleId="4">
    <w:name w:val="Balloon Text"/>
    <w:basedOn w:val="1"/>
    <w:link w:val="9"/>
    <w:semiHidden/>
    <w:unhideWhenUsed/>
    <w:qFormat/>
    <w:uiPriority w:val="99"/>
    <w:rPr>
      <w:sz w:val="18"/>
      <w:szCs w:val="18"/>
    </w:rPr>
  </w:style>
  <w:style w:type="paragraph" w:styleId="5">
    <w:name w:val="footer"/>
    <w:basedOn w:val="1"/>
    <w:link w:val="10"/>
    <w:unhideWhenUsed/>
    <w:qFormat/>
    <w:uiPriority w:val="99"/>
    <w:pPr>
      <w:tabs>
        <w:tab w:val="center" w:pos="4153"/>
        <w:tab w:val="right" w:pos="8306"/>
      </w:tabs>
      <w:snapToGrid w:val="0"/>
      <w:jc w:val="left"/>
    </w:pPr>
    <w:rPr>
      <w:sz w:val="18"/>
      <w:szCs w:val="18"/>
    </w:rPr>
  </w:style>
  <w:style w:type="paragraph" w:styleId="6">
    <w:name w:val="header"/>
    <w:basedOn w:val="1"/>
    <w:link w:val="13"/>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批注框文本 Char"/>
    <w:basedOn w:val="7"/>
    <w:link w:val="4"/>
    <w:semiHidden/>
    <w:qFormat/>
    <w:uiPriority w:val="99"/>
    <w:rPr>
      <w:rFonts w:ascii="Times New Roman" w:hAnsi="Times New Roman" w:eastAsia="方正仿宋_GBK" w:cs="Times New Roman"/>
      <w:sz w:val="18"/>
      <w:szCs w:val="18"/>
    </w:rPr>
  </w:style>
  <w:style w:type="character" w:customStyle="1" w:styleId="10">
    <w:name w:val="页脚 Char"/>
    <w:basedOn w:val="7"/>
    <w:link w:val="5"/>
    <w:qFormat/>
    <w:uiPriority w:val="99"/>
    <w:rPr>
      <w:rFonts w:ascii="Times New Roman" w:hAnsi="Times New Roman" w:eastAsia="方正仿宋_GBK" w:cs="Times New Roman"/>
      <w:sz w:val="18"/>
      <w:szCs w:val="18"/>
    </w:rPr>
  </w:style>
  <w:style w:type="character" w:customStyle="1" w:styleId="11">
    <w:name w:val="正文文本 Char"/>
    <w:basedOn w:val="7"/>
    <w:link w:val="2"/>
    <w:qFormat/>
    <w:uiPriority w:val="0"/>
    <w:rPr>
      <w:rFonts w:ascii="Times New Roman" w:hAnsi="Times New Roman" w:eastAsia="方正仿宋_GBK" w:cs="Times New Roman"/>
      <w:sz w:val="32"/>
      <w:szCs w:val="32"/>
    </w:rPr>
  </w:style>
  <w:style w:type="character" w:customStyle="1" w:styleId="12">
    <w:name w:val="日期 Char"/>
    <w:basedOn w:val="7"/>
    <w:link w:val="3"/>
    <w:semiHidden/>
    <w:qFormat/>
    <w:uiPriority w:val="99"/>
    <w:rPr>
      <w:rFonts w:ascii="Times New Roman" w:hAnsi="Times New Roman" w:eastAsia="方正仿宋_GBK" w:cs="Times New Roman"/>
      <w:sz w:val="32"/>
      <w:szCs w:val="20"/>
    </w:rPr>
  </w:style>
  <w:style w:type="character" w:customStyle="1" w:styleId="13">
    <w:name w:val="页眉 Char"/>
    <w:basedOn w:val="7"/>
    <w:link w:val="6"/>
    <w:semiHidden/>
    <w:qFormat/>
    <w:uiPriority w:val="99"/>
    <w:rPr>
      <w:rFonts w:ascii="Times New Roman" w:hAnsi="Times New Roman" w:eastAsia="方正仿宋_GBK"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ITianKong.Com</Company>
  <Pages>14</Pages>
  <Words>4004</Words>
  <Characters>22823</Characters>
  <Lines>190</Lines>
  <Paragraphs>53</Paragraphs>
  <TotalTime>9</TotalTime>
  <ScaleCrop>false</ScaleCrop>
  <LinksUpToDate>false</LinksUpToDate>
  <CharactersWithSpaces>26774</CharactersWithSpaces>
  <Application>WPS Office_10.8.2.7090_F1E327BC-269C-435d-A152-05C5408002CA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2020-07-28T07:18:00Z</dcterms:created>
  <dc:creator>SkyUser</dc:creator>
  <cp:lastModifiedBy>Administrator</cp:lastModifiedBy>
  <cp:lastPrinted>2020-08-24T04:06:00Z</cp:lastPrinted>
  <dcterms:modified xsi:type="dcterms:W3CDTF">2020-08-26T07:01:22Z</dcterms:modified>
  <dc:title>附件1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2052-10.8.2.7090</vt:lpwstr>
  </property>
</Properties>
</file>